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网页资源简读：SMM · 半固态固液电池储能商业化进程分析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来源链接</w:t>
      </w:r>
      <w:r>
        <w:rPr>
          <w:rFonts w:ascii="Times New Roman" w:hAnsi="Times New Roman" w:eastAsia="宋体"/>
          <w:b w:val="0"/>
          <w:sz w:val="24"/>
        </w:rPr>
        <w:t>：https://finance.sina.com.cn/stock/relnews/cn/2026-06-25/doc-inierays0992643.shtml ｜ 访问状态：可访问 ｜ 精读日期 2026-08-21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（约 380 字）：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该文为上海有色金属网（SMM）分析，发表于 2026-06-25。要点：2025 年末内蒙古乌海 200MW/800MWh、广东汕尾 200MW/400MWh 两大百兆瓦级项目相继并网，叠加南都电源 2.8GWh 全球最大订单落地，标志半固态（固液混合）储能正式进入规模化商用初期。技术凭借本质安全（穿刺、枪击不燃爆）与万次级长循环（头部产品 12000 次），在电网侧调频等高壁垒场景建立差异化优势。成本方面，清陶中标乌海项目系统单价已降至 0.55 元/Wh，正向传统磷酸铁锂 0.3 元/Wh 区间追赶。文中盘点卫蓝（国内固态储能市占率超 90%、淄博规划 100GWh）、清陶（五大基地 65GWh、第三代目标 &gt;500 Wh/kg 2027 量产）、南都、中天科技、鹏辉、因湃等厂商进展；清陶第二代已采用"氧化物+卤化物+聚合物"体系，是卤化物 SSE 走向半固态商业化的直接信号。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与课题关联</w:t>
      </w:r>
      <w:r>
        <w:rPr>
          <w:rFonts w:ascii="Times New Roman" w:hAnsi="Times New Roman" w:eastAsia="宋体"/>
          <w:b w:val="0"/>
          <w:sz w:val="24"/>
        </w:rPr>
        <w:t>：与课题50 高度相关——①清陶"卤化物"路线印证 Li₃MCl₆ 类卤化物 SSE 的产业化前景；②"固液混合/半固态先于全固态落地"的路径判断，支持课题50"液相合成、可放大兼容产线"的定位；③0.55→0.3 元/Wh 的成本对标，为课题50 的成本目标提供产业侧参照。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网页资源简版（基于可访问原文，结论可回溯至网页正文）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