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文献精读报告：Monolithic metal-based/porous carbon nanocomposites made from dissolved cellulose for use in electrochemical capacitor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：Madhav P. Chavhan</w:t>
      </w:r>
      <w:r>
        <w:rPr>
          <w:rFonts w:ascii="Times New Roman" w:hAnsi="Times New Roman" w:eastAsia="宋体"/>
          <w:b w:val="0"/>
          <w:i/>
          <w:sz w:val="24"/>
        </w:rPr>
        <w:t>, Arjeta Kryeziu, Somenath Ganguly, Julien Parmentier</w:t>
      </w:r>
      <w:r>
        <w:rPr>
          <w:rFonts w:ascii="Times New Roman" w:hAnsi="Times New Roman" w:eastAsia="宋体"/>
          <w:b w:val="0"/>
          <w:sz w:val="24"/>
        </w:rPr>
        <w:t>（University of Ostrava / Université de Strasbourg-IS2M / IIT Kharagpur）｜Green Carbon 2 (2024) 109–117｜DOI: 10.1016/j.greenca.2024.01.001｜精读日期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：本文用"溶解纤维素 + 金属盐"的一锅法，制备</w:t>
      </w:r>
      <w:r>
        <w:rPr>
          <w:rFonts w:ascii="Times New Roman" w:hAnsi="Times New Roman" w:eastAsia="宋体"/>
          <w:b/>
          <w:sz w:val="24"/>
        </w:rPr>
        <w:t>整体块状（monolith）金属基/多孔碳纳米复合电极</w:t>
      </w:r>
      <w:r>
        <w:rPr>
          <w:rFonts w:ascii="Times New Roman" w:hAnsi="Times New Roman" w:eastAsia="宋体"/>
          <w:b w:val="0"/>
          <w:sz w:val="24"/>
        </w:rPr>
        <w:t>，用于水系电化学电容器（超级电容器）（P1，R0）。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：将微晶纤维素溶解于预冷的浓 NaOH 溶液，金属前驱体（Cu/Mn/Fe 盐）以分子级分散于纤维素链间，再经冷冻（冰模板造大孔）、再生、干燥、800 ℃ 碳化，得到内嵌 &lt;20 nm 金属/氧化物/碳化物纳米颗粒的多孔碳块体（P1–P3，R0）。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：Fe 基样品因铁的催化石墨化 + CO₂ 造孔，比表面积与介孔最发达、电容最高（126 F g⁻¹@10 mV s⁻¹）；Fe-10//碳干凝胶（CX）非对称电池能量/功率密度达 18.3 Wh kg⁻¹@5 mA cm⁻² 与 1.6 kW kg⁻¹@25 mA cm⁻²，1000 圈保持 94.6%（P1/P6–P7，R0）。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本文是</w:t>
      </w:r>
      <w:r>
        <w:rPr>
          <w:rFonts w:ascii="Times New Roman" w:hAnsi="Times New Roman" w:eastAsia="宋体"/>
          <w:b/>
          <w:sz w:val="24"/>
        </w:rPr>
        <w:t>生物质碳 + 金属复合超级电容器</w:t>
      </w:r>
      <w:r>
        <w:rPr>
          <w:rFonts w:ascii="Times New Roman" w:hAnsi="Times New Roman" w:eastAsia="宋体"/>
          <w:b w:val="0"/>
          <w:sz w:val="24"/>
        </w:rPr>
        <w:t>文献，与课题 70（钠电 PBA 正极）器件体系不同，但对毕设的关联在</w:t>
      </w:r>
      <w:r>
        <w:rPr>
          <w:rFonts w:ascii="Times New Roman" w:hAnsi="Times New Roman" w:eastAsia="宋体"/>
          <w:b/>
          <w:sz w:val="24"/>
        </w:rPr>
        <w:t>绿色/一锅法合成范式与"金属-碳"复合思想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绿色一锅法 + 冰模板</w:t>
      </w:r>
      <w:r>
        <w:rPr>
          <w:rFonts w:ascii="Times New Roman" w:hAnsi="Times New Roman" w:eastAsia="宋体"/>
          <w:b w:val="0"/>
          <w:sz w:val="24"/>
        </w:rPr>
        <w:t>：用廉价、非食物源纤维素 + NaOH 溶解 + 冷冻冰模板造孔，全程"简单、廉价、环保"（P1，R0）。课题 70 的共沉淀法同为水相、可放大、绿色的路线，二者叙事一致，可借鉴其"低成本原料 + 分子级分散"的合成哲学（R2）。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金属催化石墨化 + 原位造孔</w:t>
      </w:r>
      <w:r>
        <w:rPr>
          <w:rFonts w:ascii="Times New Roman" w:hAnsi="Times New Roman" w:eastAsia="宋体"/>
          <w:b w:val="0"/>
          <w:sz w:val="24"/>
        </w:rPr>
        <w:t>：Fe 在碳化中催化无定形碳石墨化、并因 CO₂ 生成而造介孔（P5，R0）。课题 70 若用碳包覆 PBA 提升导电性，可参考"过渡金属催化石墨化"的思路（R2）。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结晶水/杂质的教训</w:t>
      </w:r>
      <w:r>
        <w:rPr>
          <w:rFonts w:ascii="Times New Roman" w:hAnsi="Times New Roman" w:eastAsia="宋体"/>
          <w:b w:val="0"/>
          <w:sz w:val="24"/>
        </w:rPr>
        <w:t>：残钠生成 Na₂CO₃ 杂质导致纯碳样（CMC）CV 变形、性能下降（P6，R0），提醒课题 70 中</w:t>
      </w:r>
      <w:r>
        <w:rPr>
          <w:rFonts w:ascii="Times New Roman" w:hAnsi="Times New Roman" w:eastAsia="宋体"/>
          <w:b/>
          <w:sz w:val="24"/>
        </w:rPr>
        <w:t>清洗与杂质（钠盐残留）控制</w:t>
      </w:r>
      <w:r>
        <w:rPr>
          <w:rFonts w:ascii="Times New Roman" w:hAnsi="Times New Roman" w:eastAsia="宋体"/>
          <w:b w:val="0"/>
          <w:sz w:val="24"/>
        </w:rPr>
        <w:t>对电化学至关重要（R2）。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对 7 志愿整体：它与 Li2021、Chen2024 同属"碳基储能材料"，但器件为超级电容器（双电层 + 赝电容），补齐了学生关于"碳/金属复合 + 电容型储能"的知识，且其 EIS 等效电路拟合与赝电容分析可迁移到电池阻抗分析（R2）。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引言与动机（P1–P2）</w:t>
      </w:r>
      <w:r>
        <w:rPr>
          <w:rFonts w:ascii="Times New Roman" w:hAnsi="Times New Roman" w:eastAsia="宋体"/>
          <w:b w:val="0"/>
          <w:sz w:val="24"/>
        </w:rPr>
        <w:t>：超级电容器功率密度约为电池的 10 倍；碳基电极是双电层首选，但纤维素衍生碳导电差、比表面不易利用、碳化后缺乏表面官能团（P2，R0）。传统制备纤维素块体需乙酰化/羧甲基化改性或离子液体，繁琐昂贵；作者用纯纤维素溶于预冷浓 NaOH + 冷冻冰模板一步造大孔（P2，R0）。金属纳米颗粒可提导电、引入赝电容，但分散困难（P2，R0）。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合成路线（P2–P3）</w:t>
      </w:r>
      <w:r>
        <w:rPr>
          <w:rFonts w:ascii="Times New Roman" w:hAnsi="Times New Roman" w:eastAsia="宋体"/>
          <w:b w:val="0"/>
          <w:sz w:val="24"/>
        </w:rPr>
        <w:t>：7 g NaOH + 78 g 水预冷至 −10 ℃ → 加 9 g 微晶纤维素搅拌 40 min → 加金属盐（Cu/Mn/Fe 的醋酸盐/硫酸盐，4% 或 10 wt% 相对纤维素）→ 装入管中 −10 ℃ 冷冻 12 h（冰模板）→ 乙醇中再生 2 天 → 水洗至 pH≈7 → 70 ℃ 干燥 → N₂ 中 800 ℃ 碳化 1 h（P3，R0）。样品命名如 Fe-10 表示 10 wt% FeSO₄·7H₂O 前驱体。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物相与形貌（P4–P5）</w:t>
      </w:r>
      <w:r>
        <w:rPr>
          <w:rFonts w:ascii="Times New Roman" w:hAnsi="Times New Roman" w:eastAsia="宋体"/>
          <w:b w:val="0"/>
          <w:sz w:val="24"/>
        </w:rPr>
        <w:t>：XRD 显示三种金属还原行为不同——Mn 保持氧化态 MnO、Fe 为金属 Fe + 碳化铁 Fe₃C、Cu 为纯金属 Cu；Fe-10 出现明显石墨碳峰（Fe 催化石墨化）；各样品均含痕量 Na₂CO₃（NaOH 未除尽所致）（P4，R0）。TEM：Cu/Mn 纳米颗粒 5–12 nm、窄分布；Fe 纳米颗粒 21–28 nm 且被石墨壳包覆（Fe/C 共晶"纳米液滴"溶解无定形碳并重结晶为石墨烯结构，留下介孔空隙）（P4–P5，R0）。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孔结构与电化学（P5–P7）</w:t>
      </w:r>
      <w:r>
        <w:rPr>
          <w:rFonts w:ascii="Times New Roman" w:hAnsi="Times New Roman" w:eastAsia="宋体"/>
          <w:b w:val="0"/>
          <w:sz w:val="24"/>
        </w:rPr>
        <w:t>：Fe-10 兼有微孔与介孔、比表面 98 m² g⁻¹、介孔体积 0.083 cm³ g⁻¹（纯 CMC 比表面 1060 m² g⁻¹ 但以微孔为主、电导差）（P5，Table 1，R0）。Fe-10 电容最高：126 F g⁻¹@10 mV s⁻¹，1 A g⁻¹ 下 Fe-10/Mn-10/Cu-10/CMC = 150/133/83/42 F g⁻¹（P6，R0）。机理：首圈 Fe/Fe₃C 不可逆转氢氧化物，随后 Fe(OH)₂↔Fe₃O₄ 可逆赝电容（P6，R0）。EIS：Fe-10 的 Rct 最低，归因于石墨化碳的快速电子传输（P7，R0）。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非对称电池（P7）</w:t>
      </w:r>
      <w:r>
        <w:rPr>
          <w:rFonts w:ascii="Times New Roman" w:hAnsi="Times New Roman" w:eastAsia="宋体"/>
          <w:b w:val="0"/>
          <w:sz w:val="24"/>
        </w:rPr>
        <w:t>：Fe-10//CX（酚醛树脂源碳干凝胶）在 2 M KOH 中窗口拓宽到 1.5 V，79 F g⁻¹@5 mA cm⁻²，能量 18.3 Wh kg⁻¹、功率 1.6 kW kg⁻¹，20 mA cm⁻² 下 1000 圈保持 94.6%（P7，R0）。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6. 结论与展望（P8）</w:t>
      </w:r>
      <w:r>
        <w:rPr>
          <w:rFonts w:ascii="Times New Roman" w:hAnsi="Times New Roman" w:eastAsia="宋体"/>
          <w:b w:val="0"/>
          <w:sz w:val="24"/>
        </w:rPr>
        <w:t>：一步一锅、环保制备金属基碳块体；Fe 前驱体促进局部石墨化；未来可引入 N/S/P 杂原子、双/三金属、活化与去 Na₂CO₃ 后处理等进一步提升（P8，R0）。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残钠/碳酸盐杂质</w:t>
      </w:r>
      <w:r>
        <w:rPr>
          <w:rFonts w:ascii="Times New Roman" w:hAnsi="Times New Roman" w:eastAsia="宋体"/>
          <w:b w:val="0"/>
          <w:sz w:val="24"/>
        </w:rPr>
        <w:t>：NaOH 未除尽在碳化中生成 Na₂CO₃，损害 CMC 的电化学（CV 变形），作者仅靠估算处理（P4/P6，R0），说明清洗步骤的控制是本法的关键痛点。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金属含量的精确定量难</w:t>
      </w:r>
      <w:r>
        <w:rPr>
          <w:rFonts w:ascii="Times New Roman" w:hAnsi="Times New Roman" w:eastAsia="宋体"/>
          <w:b w:val="0"/>
          <w:sz w:val="24"/>
        </w:rPr>
        <w:t>：MnO/Fe₃C/Fe/Cu + Na₂CO₃ 多相共存使 TGA 无法直接准确测金属含量（P5，R0）。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孔隙-导电的权衡</w:t>
      </w:r>
      <w:r>
        <w:rPr>
          <w:rFonts w:ascii="Times New Roman" w:hAnsi="Times New Roman" w:eastAsia="宋体"/>
          <w:b w:val="0"/>
          <w:sz w:val="24"/>
        </w:rPr>
        <w:t>：掺金属虽提导电/赝电容，却损失孔隙率（比表面从 1060 降到 53–98 m² g⁻¹）（P5，Table 1，R0）。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绿色一锅法 + 分子级分散</w:t>
      </w:r>
      <w:r>
        <w:rPr>
          <w:rFonts w:ascii="Times New Roman" w:hAnsi="Times New Roman" w:eastAsia="宋体"/>
          <w:b w:val="0"/>
          <w:sz w:val="24"/>
        </w:rPr>
        <w:t>：把可溶金属前驱体直接溶入溶解态碳前驱体、以"限域效应"抑制颗粒长大，是课题 70 在碳包覆 PBA 或金属掺杂 PBA 中可借鉴的分散策略（P2，R0）。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冰模板造孔</w:t>
      </w:r>
      <w:r>
        <w:rPr>
          <w:rFonts w:ascii="Times New Roman" w:hAnsi="Times New Roman" w:eastAsia="宋体"/>
          <w:b w:val="0"/>
          <w:sz w:val="24"/>
        </w:rPr>
        <w:t>：冷冻时冰晶生长 + 浓 NaOH 盐析 + 纤维素部分析出，实现无模板造大孔（P4，R0），可为 PBA 形貌/多孔结构调控提供低成本思路（R2）。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杂质控制的教训</w:t>
      </w:r>
      <w:r>
        <w:rPr>
          <w:rFonts w:ascii="Times New Roman" w:hAnsi="Times New Roman" w:eastAsia="宋体"/>
          <w:b w:val="0"/>
          <w:sz w:val="24"/>
        </w:rPr>
        <w:t>：残钠→碳酸盐→性能劣化的因果链，直接提示课题 70 共沉淀后</w:t>
      </w:r>
      <w:r>
        <w:rPr>
          <w:rFonts w:ascii="Times New Roman" w:hAnsi="Times New Roman" w:eastAsia="宋体"/>
          <w:b/>
          <w:sz w:val="24"/>
        </w:rPr>
        <w:t>充分洗涤以去除钠盐/残留螯合剂</w:t>
      </w:r>
      <w:r>
        <w:rPr>
          <w:rFonts w:ascii="Times New Roman" w:hAnsi="Times New Roman" w:eastAsia="宋体"/>
          <w:b w:val="0"/>
          <w:sz w:val="24"/>
        </w:rPr>
        <w:t>（P6，R0）。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电容/阻抗量化</w:t>
      </w:r>
      <w:r>
        <w:rPr>
          <w:rFonts w:ascii="Times New Roman" w:hAnsi="Times New Roman" w:eastAsia="宋体"/>
          <w:b w:val="0"/>
          <w:sz w:val="24"/>
        </w:rPr>
        <w:t>：CV/CP 电容公式、Randle 等效电路拟合、CPE 指数判读，是可迁移的电化学定量工具（P4/P7，R0）。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本文价值在于"低成本绿色块体合成 + 过渡金属催化石墨化"，但其器件性能（18.3 Wh kg⁻¹）并不突出，属方法学导向研究（R2）。对课题 70 的延伸启示：PBA 正极同样存在</w:t>
      </w:r>
      <w:r>
        <w:rPr>
          <w:rFonts w:ascii="Times New Roman" w:hAnsi="Times New Roman" w:eastAsia="宋体"/>
          <w:b/>
          <w:sz w:val="24"/>
        </w:rPr>
        <w:t>导电性不足</w:t>
      </w:r>
      <w:r>
        <w:rPr>
          <w:rFonts w:ascii="Times New Roman" w:hAnsi="Times New Roman" w:eastAsia="宋体"/>
          <w:b w:val="0"/>
          <w:sz w:val="24"/>
        </w:rPr>
        <w:t>（R1，Hong2025 亦强调），而"过渡金属催化原位石墨化"与"碳基体分子级包覆"提供了两条提导电路径。能否在 Na₂MnFe(CN)₆ 共沉淀后原位复合碳、或借 Mn/Fe 的催化作用形成导电碳网络，同时避免引入钠盐杂质，是值得毕设探索的工艺问题（R2）。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