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文献精读报告：High-Entropy Phase Stabilization Engineering Enables High-Performance Layered Cathode for Sodium-Ion Batteries</w:t>
      </w:r>
    </w:p>
    <w:p/>
    <w:p/>
    <w:p/>
    <w:p/>
    <w:p/>
    <w:p/>
    <w:p/>
    <w:p/>
    <w:p/>
    <w:p/>
    <w:p/>
    <w:p/>
    <w:p/>
    <w:p/>
    <w:p>
      <w:pPr>
        <w:jc w:val="center"/>
      </w:pPr>
      <w:r>
        <w:rPr>
          <w:rFonts w:ascii="宋体" w:hAnsi="宋体" w:eastAsia="宋体"/>
          <w:sz w:val="24"/>
        </w:rPr>
        <w:t>编制日期：2026年08月21日</w:t>
      </w:r>
    </w:p>
    <w:p/>
    <w:p>
      <w:r>
        <w:br w:type="page"/>
      </w:r>
    </w:p>
    <w:p>
      <w:pPr>
        <w:spacing w:before="120" w:after="120"/>
        <w:ind w:left="567" w:right="567"/>
        <w:pBdr>
          <w:left w:val="single" w:sz="12" w:color="6366F1"/>
        </w:pBdr>
      </w:pPr>
      <w:r>
        <w:rPr>
          <w:rFonts w:ascii="Times New Roman" w:hAnsi="Times New Roman" w:eastAsia="宋体"/>
          <w:b/>
          <w:sz w:val="24"/>
        </w:rPr>
        <w:t>元信息</w:t>
      </w:r>
      <w:r>
        <w:rPr>
          <w:rFonts w:ascii="Times New Roman" w:hAnsi="Times New Roman" w:eastAsia="宋体"/>
          <w:b w:val="0"/>
          <w:sz w:val="24"/>
        </w:rPr>
        <w:t>：Bing Wang, Jun Ma, Kejian Wang, Dekai Wang, Gaojie Xu, Xiaogang Wang, Zhiwei Hu, Chih-Wen Pao, Jeng-Lung Chen, Li Du, Xiaofan Du, Guanglei Cui（中科院青岛生物能源与过程研究所）｜Advanced Energy Materials 2024, 14, 2401090｜DOI: 10.1002/aenm.202401090｜精读日期 2026-08-21</w:t>
      </w:r>
    </w:p>
    <w:p>
      <w:pPr>
        <w:spacing w:before="120" w:after="120"/>
        <w:ind w:left="567" w:right="567"/>
        <w:pBdr>
          <w:left w:val="single" w:sz="12" w:color="6366F1"/>
        </w:pBdr>
      </w:pPr>
      <w:r>
        <w:rPr>
          <w:rFonts w:ascii="Times New Roman" w:hAnsi="Times New Roman" w:eastAsia="宋体"/>
          <w:b w:val="0"/>
          <w:sz w:val="24"/>
        </w:rPr>
        <w:t>证据分级：R0=原文事实（附页码/章节锚点）｜R1=外部背景知识｜R2=推断/评价</w:t>
      </w:r>
    </w:p>
    <w:p/>
    <w:p>
      <w:pPr>
        <w:pStyle w:val="2"/>
        <w:pageBreakBefore w:val="0"/>
      </w:pPr>
      <w:r>
        <w:rPr>
          <w:rFonts w:ascii="Times New Roman" w:hAnsi="Times New Roman" w:eastAsia="宋体"/>
          <w:b/>
          <w:sz w:val="44"/>
        </w:rPr>
        <w:t>1. 文献速览总结</w:t>
      </w:r>
    </w:p>
    <w:p>
      <w:pPr>
        <w:spacing w:line="360" w:lineRule="auto"/>
        <w:ind w:firstLine="420"/>
      </w:pPr>
      <w:r>
        <w:rPr>
          <w:rFonts w:ascii="Times New Roman" w:hAnsi="Times New Roman" w:eastAsia="宋体"/>
          <w:b/>
          <w:sz w:val="24"/>
        </w:rPr>
        <w:t>一句话定位</w:t>
      </w:r>
      <w:r>
        <w:rPr>
          <w:rFonts w:ascii="Times New Roman" w:hAnsi="Times New Roman" w:eastAsia="宋体"/>
          <w:b w:val="0"/>
          <w:sz w:val="24"/>
        </w:rPr>
        <w:t>：本文用"高熵相稳定工程"设计了一种零应变、低镍无钴的 O3 型层状氧化物正极 NaNi₀.₂Fe₀.₂Mn₀.₃₅Cu₀.₀₅Zn₀.₁Sn₀.₁O₂，抑制钠电 O3 正极的不可逆相变与结构退化（P1，R0）。</w:t>
      </w:r>
    </w:p>
    <w:p>
      <w:pPr>
        <w:spacing w:line="360" w:lineRule="auto"/>
        <w:ind w:firstLine="420"/>
      </w:pPr>
      <w:r>
        <w:rPr>
          <w:rFonts w:ascii="Times New Roman" w:hAnsi="Times New Roman" w:eastAsia="宋体"/>
          <w:b/>
          <w:sz w:val="24"/>
        </w:rPr>
        <w:t>核心内容</w:t>
      </w:r>
      <w:r>
        <w:rPr>
          <w:rFonts w:ascii="Times New Roman" w:hAnsi="Times New Roman" w:eastAsia="宋体"/>
          <w:b w:val="0"/>
          <w:sz w:val="24"/>
        </w:rPr>
        <w:t>：六种金属元素系统筛选后分工——Ni/Fe/Cu 作为电荷补偿者提供容量，Mn/Zn/Sn 作为层间滑移抑制者（通过增强电荷局域化 + 稳定价态）稳定结构（P1–P2，R0）。结合硬 X 射线吸收谱（hXAS）与第一性原理，清晰阐明各元素功能（P6–P7，R0）。</w:t>
      </w:r>
    </w:p>
    <w:p>
      <w:pPr>
        <w:spacing w:line="360" w:lineRule="auto"/>
        <w:ind w:firstLine="420"/>
      </w:pPr>
      <w:r>
        <w:rPr>
          <w:rFonts w:ascii="Times New Roman" w:hAnsi="Times New Roman" w:eastAsia="宋体"/>
          <w:b/>
          <w:sz w:val="24"/>
        </w:rPr>
        <w:t>主要结论</w:t>
      </w:r>
      <w:r>
        <w:rPr>
          <w:rFonts w:ascii="Times New Roman" w:hAnsi="Times New Roman" w:eastAsia="宋体"/>
          <w:b w:val="0"/>
          <w:sz w:val="24"/>
        </w:rPr>
        <w:t>：该正极实现 O3-P3-O3 高度可逆相变、循环后近零体积应变（300 圈仅 0.11%），全电池 3.0 C 下 500 圈保持 87% 容量（对比 NFM 仅 24%）（P1/P3/P8，R0）。</w:t>
      </w:r>
    </w:p>
    <w:p/>
    <w:p>
      <w:r>
        <w:br w:type="page"/>
      </w:r>
    </w:p>
    <w:p>
      <w:pPr>
        <w:pStyle w:val="2"/>
        <w:pageBreakBefore w:val="0"/>
      </w:pPr>
      <w:r>
        <w:rPr>
          <w:rFonts w:ascii="Times New Roman" w:hAnsi="Times New Roman" w:eastAsia="宋体"/>
          <w:b/>
          <w:sz w:val="44"/>
        </w:rPr>
        <w:t>2. 课题关联分析</w:t>
      </w:r>
    </w:p>
    <w:p>
      <w:pPr>
        <w:spacing w:line="360" w:lineRule="auto"/>
        <w:ind w:firstLine="420"/>
      </w:pPr>
      <w:r>
        <w:rPr>
          <w:rFonts w:ascii="Times New Roman" w:hAnsi="Times New Roman" w:eastAsia="宋体"/>
          <w:b w:val="0"/>
          <w:sz w:val="24"/>
        </w:rPr>
        <w:t>本文是</w:t>
      </w:r>
      <w:r>
        <w:rPr>
          <w:rFonts w:ascii="Times New Roman" w:hAnsi="Times New Roman" w:eastAsia="宋体"/>
          <w:b/>
          <w:sz w:val="24"/>
        </w:rPr>
        <w:t>钠电层状氧化物正极</w:t>
      </w:r>
      <w:r>
        <w:rPr>
          <w:rFonts w:ascii="Times New Roman" w:hAnsi="Times New Roman" w:eastAsia="宋体"/>
          <w:b w:val="0"/>
          <w:sz w:val="24"/>
        </w:rPr>
        <w:t>的高熵稳定化研究，与课题 70（钠电普鲁士蓝正极）是"不同正极体系、同一稳定性目标"的关系，关联价值高：</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"稳定价态 + 抑制相变"的元素分工逻辑</w:t>
      </w:r>
      <w:r>
        <w:rPr>
          <w:rFonts w:ascii="Times New Roman" w:hAnsi="Times New Roman" w:eastAsia="宋体"/>
          <w:b w:val="0"/>
          <w:sz w:val="24"/>
        </w:rPr>
        <w:t>：本文把元素分为"氧化还原活性（容量）"与"电化学惰性（结构稳定）"两组（P2/P7，R0），课题 70 的 Na₂MnFe(CN)₆ 中 Mn/Fe 分别为高/低自旋氧化还原中心、另可引入惰性 Ni/Zn 稳定框架（R1 背景），可套用同一"分工设计"语言（R2）。</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零应变与相变可逆性的表征方法</w:t>
      </w:r>
      <w:r>
        <w:rPr>
          <w:rFonts w:ascii="Times New Roman" w:hAnsi="Times New Roman" w:eastAsia="宋体"/>
          <w:b w:val="0"/>
          <w:sz w:val="24"/>
        </w:rPr>
        <w:t>：in situ XRD 二维等高图 + HRTEM + 循环后 XRD 精修，判定 O3-P3-O3 可逆相变与体积应变（P3–P4，R0），是课题 70 研究 PBA 相变/体积变化时可复用的技术路线。</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高熵概念</w:t>
      </w:r>
      <w:r>
        <w:rPr>
          <w:rFonts w:ascii="Times New Roman" w:hAnsi="Times New Roman" w:eastAsia="宋体"/>
          <w:b w:val="0"/>
          <w:sz w:val="24"/>
        </w:rPr>
        <w:t>：高熵（构型熵 ΔSconf &gt;1.5R）稳定化策略近年也已被引入 PBA（R1 背景，Hong2025 综述 P11–P13 讨论高熵 PBA），本文为毕设理解"高熵 PBA"提供了层状氧化物侧的对照起点（R2）。</w:t>
      </w:r>
    </w:p>
    <w:p>
      <w:pPr>
        <w:spacing w:line="360" w:lineRule="auto"/>
        <w:ind w:firstLine="420"/>
      </w:pPr>
      <w:r>
        <w:rPr>
          <w:rFonts w:ascii="Times New Roman" w:hAnsi="Times New Roman" w:eastAsia="宋体"/>
          <w:b w:val="0"/>
          <w:sz w:val="24"/>
        </w:rPr>
        <w:t>对 7 志愿整体：与课题 47（MLIP 相稳定性）在"相稳定/第一性原理计算"方法上有交集；与课题 24（离子传导计算）共用 DFT 能带/态密度分析手段（R2）。</w:t>
      </w:r>
    </w:p>
    <w:p/>
    <w:p>
      <w:r>
        <w:br w:type="page"/>
      </w:r>
    </w:p>
    <w:p>
      <w:pPr>
        <w:pStyle w:val="2"/>
        <w:pageBreakBefore w:val="0"/>
      </w:pPr>
      <w:r>
        <w:rPr>
          <w:rFonts w:ascii="Times New Roman" w:hAnsi="Times New Roman" w:eastAsia="宋体"/>
          <w:b/>
          <w:sz w:val="44"/>
        </w:rPr>
        <w:t>3. 内容深度解读（按论文结构）</w:t>
      </w:r>
    </w:p>
    <w:p>
      <w:pPr>
        <w:spacing w:line="360" w:lineRule="auto"/>
        <w:ind w:firstLine="420"/>
      </w:pPr>
      <w:r>
        <w:rPr>
          <w:rFonts w:ascii="Times New Roman" w:hAnsi="Times New Roman" w:eastAsia="宋体"/>
          <w:b/>
          <w:sz w:val="24"/>
        </w:rPr>
        <w:t>1. 设计策略（P1–P2）</w:t>
      </w:r>
      <w:r>
        <w:rPr>
          <w:rFonts w:ascii="Times New Roman" w:hAnsi="Times New Roman" w:eastAsia="宋体"/>
          <w:b w:val="0"/>
          <w:sz w:val="24"/>
        </w:rPr>
        <w:t>：O3 型层状氧化物循环中经历不可逆相变与严重体积应变；传统掺杂/包覆无法根治。高熵氧化物（≥5 种金属、近乎等摩尔）通过构型熵提升热力学稳定性并产生"鸡尾酒效应"（P2，R0）。作者经离子半径、化学兼容性、配位数、氧化还原兼容性系统筛选出六元组成（P2，R0）。</w:t>
      </w:r>
    </w:p>
    <w:p>
      <w:pPr>
        <w:spacing w:line="360" w:lineRule="auto"/>
        <w:ind w:firstLine="420"/>
      </w:pPr>
      <w:r>
        <w:rPr>
          <w:rFonts w:ascii="Times New Roman" w:hAnsi="Times New Roman" w:eastAsia="宋体"/>
          <w:b/>
          <w:sz w:val="24"/>
        </w:rPr>
        <w:t>2. 结构与熵计算（P2–P3）</w:t>
      </w:r>
      <w:r>
        <w:rPr>
          <w:rFonts w:ascii="Times New Roman" w:hAnsi="Times New Roman" w:eastAsia="宋体"/>
          <w:b w:val="0"/>
          <w:sz w:val="24"/>
        </w:rPr>
        <w:t>：XRD 精修确认纯相 O3 结构（R-3m 空间群），a=b=3.0293 Å、c=16.2168 Å；Na 在 3a、O 在 6c、TM 在 3b 位（P2，R0）。构型熵 ΔSconf = 1.62R，超过二元/三元/四元体系（&gt;1.5R 归为"高熵"），更高熵值→更低吉布斯自由能→更稳定（P2–P3，R0）。SEM 显示均匀晶粒平均 1.07 μm；EDS 映射元素均匀无偏析（P3，R0）。</w:t>
      </w:r>
    </w:p>
    <w:p>
      <w:pPr>
        <w:spacing w:line="360" w:lineRule="auto"/>
        <w:ind w:firstLine="420"/>
      </w:pPr>
      <w:r>
        <w:rPr>
          <w:rFonts w:ascii="Times New Roman" w:hAnsi="Times New Roman" w:eastAsia="宋体"/>
          <w:b/>
          <w:sz w:val="24"/>
        </w:rPr>
        <w:t>3. 电化学性能（P3）</w:t>
      </w:r>
      <w:r>
        <w:rPr>
          <w:rFonts w:ascii="Times New Roman" w:hAnsi="Times New Roman" w:eastAsia="宋体"/>
          <w:b w:val="0"/>
          <w:sz w:val="24"/>
        </w:rPr>
        <w:t>：对比样 NFM（NaNi₀.₂Fe₀.₂Mn₀.₆O₂）。HE 首圈可逆容量 128 mAh g⁻¹（vs NFM ≈90 mAh g⁻¹）；倍率 0.1/0.2/0.5/1.0/2.0 C 对应 121.6/108.4/93.3/80.0/64.3 mAh g⁻¹（无预钠化）（P3，R0）。1.0 C 下 HE 保持约 80% 容量可撑 300 圈，NFM 同样保持率仅 20 圈（P3，R0）。</w:t>
      </w:r>
    </w:p>
    <w:p>
      <w:pPr>
        <w:spacing w:line="360" w:lineRule="auto"/>
        <w:ind w:firstLine="420"/>
      </w:pPr>
      <w:r>
        <w:rPr>
          <w:rFonts w:ascii="Times New Roman" w:hAnsi="Times New Roman" w:eastAsia="宋体"/>
          <w:b/>
          <w:sz w:val="24"/>
        </w:rPr>
        <w:t>4. 结构稳定性与零应变（P3）</w:t>
      </w:r>
      <w:r>
        <w:rPr>
          <w:rFonts w:ascii="Times New Roman" w:hAnsi="Times New Roman" w:eastAsia="宋体"/>
          <w:b w:val="0"/>
          <w:sz w:val="24"/>
        </w:rPr>
        <w:t>：300 圈后 HE 仍为完好 O3 层状结构，NFM 则出现 O3/P3/NiO 杂质共存；HE 体积变化率仅 0.11%（近零应变），NFM 严重体积变化；3.0 C 下 500 圈 HE 保持 87%（NFM 24%），全程库仑效率 &gt;98%（P3，R0）。</w:t>
      </w:r>
    </w:p>
    <w:p>
      <w:pPr>
        <w:spacing w:line="360" w:lineRule="auto"/>
        <w:ind w:firstLine="420"/>
      </w:pPr>
      <w:r>
        <w:rPr>
          <w:rFonts w:ascii="Times New Roman" w:hAnsi="Times New Roman" w:eastAsia="宋体"/>
          <w:b/>
          <w:sz w:val="24"/>
        </w:rPr>
        <w:t>5. 相变机制（P3–P6）</w:t>
      </w:r>
      <w:r>
        <w:rPr>
          <w:rFonts w:ascii="Times New Roman" w:hAnsi="Times New Roman" w:eastAsia="宋体"/>
          <w:b w:val="0"/>
          <w:sz w:val="24"/>
        </w:rPr>
        <w:t>：in situ XRD 显示 HE 充电至约 3.15 V 出现 P3 相（O3+P3 共存）→完全转 P3，放电约 3.10 V 回到 O3，全程 O3-P3-O3 可逆；NFM 则经历 O3-P3-P′3-O3+P3 复杂且不可逆过程（P3–P4，R0）。HRTEM：4.0 V 下 d(101)=2.447 Å（P3 相）、2.0 V 下 2.633 Å（O3 相）（P4，R0）。DFT 电子局域函数（ELF）显示 Sn/Mn/Zn 与 O 配位处电荷更局域化，锚定 TMO₂ 层、抑制层滑移；且脱 Na 过程中 ΔSconf 上升补偿了形成能 |ΔEformation| 下降带来的失稳（P5，R0）。</w:t>
      </w:r>
    </w:p>
    <w:p>
      <w:pPr>
        <w:spacing w:line="360" w:lineRule="auto"/>
        <w:ind w:firstLine="420"/>
      </w:pPr>
      <w:r>
        <w:rPr>
          <w:rFonts w:ascii="Times New Roman" w:hAnsi="Times New Roman" w:eastAsia="宋体"/>
          <w:b/>
          <w:sz w:val="24"/>
        </w:rPr>
        <w:t>6. 电荷补偿与电子结构（P6–P7）</w:t>
      </w:r>
      <w:r>
        <w:rPr>
          <w:rFonts w:ascii="Times New Roman" w:hAnsi="Times New Roman" w:eastAsia="宋体"/>
          <w:b w:val="0"/>
          <w:sz w:val="24"/>
        </w:rPr>
        <w:t>：hXAS（XANES）确认原始态 Ni²⁺/³⁺、Fe³⁺、Cu²⁺、Mn⁴⁺、Zn²⁺、Sn⁴⁺；充电至 4.0 V 时 Ni/Fe/Cu 边右移（Ni 偏移最明显，对应两电子转移、部分 Ni→Ni⁴⁺），Mn 仍 +4（前边峰不增）、Zn/Sn 价态不变（P6–P7，R0）。DFT：带隙窄（约 0.14 eV），价带顶由 Cu/Fe/Ni 3d 占据，O 2p 与 Cu/Fe/Ni 3d 强杂化（电荷离域、促进氧化还原），而 Sn/Zn/Mn 的 d 电子与 O 2p 无可见杂化（电荷局域、结构稳健）（P7，R0）。</w:t>
      </w:r>
    </w:p>
    <w:p>
      <w:pPr>
        <w:spacing w:line="360" w:lineRule="auto"/>
        <w:ind w:firstLine="420"/>
      </w:pPr>
      <w:r>
        <w:rPr>
          <w:rFonts w:ascii="Times New Roman" w:hAnsi="Times New Roman" w:eastAsia="宋体"/>
          <w:b/>
          <w:sz w:val="24"/>
        </w:rPr>
        <w:t>7. 结论（P8）</w:t>
      </w:r>
      <w:r>
        <w:rPr>
          <w:rFonts w:ascii="Times New Roman" w:hAnsi="Times New Roman" w:eastAsia="宋体"/>
          <w:b w:val="0"/>
          <w:sz w:val="24"/>
        </w:rPr>
        <w:t>：低镍无钴高熵正极实现可逆 O3-P3-O3、零体积应变、500 圈 87% 保持（对比 NFM 24%），并厘清 Ni/Fe/Cu 电荷补偿、Mn/Zn/Sn 层间滑移抑制的元素分工（P8，R0）。</w:t>
      </w:r>
    </w:p>
    <w:p/>
    <w:p>
      <w:r>
        <w:br w:type="page"/>
      </w:r>
    </w:p>
    <w:p>
      <w:pPr>
        <w:pStyle w:val="2"/>
        <w:pageBreakBefore w:val="0"/>
      </w:pPr>
      <w:r>
        <w:rPr>
          <w:rFonts w:ascii="Times New Roman" w:hAnsi="Times New Roman" w:eastAsia="宋体"/>
          <w:b/>
          <w:sz w:val="44"/>
        </w:rPr>
        <w:t>4. 技术难点识别</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高熵机制的复杂性</w:t>
      </w:r>
      <w:r>
        <w:rPr>
          <w:rFonts w:ascii="Times New Roman" w:hAnsi="Times New Roman" w:eastAsia="宋体"/>
          <w:b w:val="0"/>
          <w:sz w:val="24"/>
        </w:rPr>
        <w:t>：多元素对结构/容量的贡献相互耦合，难以解耦单一元素作用（P2，R0），作者靠 hXAS+DFT 才部分厘清。</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容量与稳定的平衡</w:t>
      </w:r>
      <w:r>
        <w:rPr>
          <w:rFonts w:ascii="Times New Roman" w:hAnsi="Times New Roman" w:eastAsia="宋体"/>
          <w:b w:val="0"/>
          <w:sz w:val="24"/>
        </w:rPr>
        <w:t>：高熵引入大量惰性元素（Mn/Zn/Sn）虽稳结构但稀释活性，容量（128 mAh g⁻¹）不算高（P3，R0），需在容量、稳定、成本间权衡。</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合成一致性</w:t>
      </w:r>
      <w:r>
        <w:rPr>
          <w:rFonts w:ascii="Times New Roman" w:hAnsi="Times New Roman" w:eastAsia="宋体"/>
          <w:b w:val="0"/>
          <w:sz w:val="24"/>
        </w:rPr>
        <w:t>：六元固相反应的元素均匀性与批次一致性是高熵材料放大的共性难点（R2）。</w:t>
      </w:r>
    </w:p>
    <w:p/>
    <w:p>
      <w:r>
        <w:br w:type="page"/>
      </w:r>
    </w:p>
    <w:p>
      <w:pPr>
        <w:pStyle w:val="2"/>
        <w:pageBreakBefore w:val="0"/>
      </w:pPr>
      <w:r>
        <w:rPr>
          <w:rFonts w:ascii="Times New Roman" w:hAnsi="Times New Roman" w:eastAsia="宋体"/>
          <w:b/>
          <w:sz w:val="44"/>
        </w:rPr>
        <w:t>5. 可借鉴点</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元素"分工"设计框架</w:t>
      </w:r>
      <w:r>
        <w:rPr>
          <w:rFonts w:ascii="Times New Roman" w:hAnsi="Times New Roman" w:eastAsia="宋体"/>
          <w:b w:val="0"/>
          <w:sz w:val="24"/>
        </w:rPr>
        <w:t>：把元素明确分为"电荷补偿者"与"结构稳定者"，是课题 70 设计 Na₂MnFe(CN)₆ 及其掺杂改性（如 Ni/Zn/Cu 取代）时可直接套用的分析工具（P1/P7，R0）。</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构型熵的定量</w:t>
      </w:r>
      <w:r>
        <w:rPr>
          <w:rFonts w:ascii="Times New Roman" w:hAnsi="Times New Roman" w:eastAsia="宋体"/>
          <w:b w:val="0"/>
          <w:sz w:val="24"/>
        </w:rPr>
        <w:t>：ΔSconf = −RΣ(x·lnx) 的统计热力学公式（P2–P3，R0），可用于估算 PBA 体系中多金属共占位的熵稳定贡献（R2）。</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原位相变追踪</w:t>
      </w:r>
      <w:r>
        <w:rPr>
          <w:rFonts w:ascii="Times New Roman" w:hAnsi="Times New Roman" w:eastAsia="宋体"/>
          <w:b w:val="0"/>
          <w:sz w:val="24"/>
        </w:rPr>
        <w:t>：in situ XRD + 循环后精修 + 充/放电态 HRTEM 的"三明治"证据链，是研究 PBA 立方↔单斜/菱方相变可逆性的标准范式（P3–P4，R0）。</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价态分工验证</w:t>
      </w:r>
      <w:r>
        <w:rPr>
          <w:rFonts w:ascii="Times New Roman" w:hAnsi="Times New Roman" w:eastAsia="宋体"/>
          <w:b w:val="0"/>
          <w:sz w:val="24"/>
        </w:rPr>
        <w:t>：hXAS 区分"氧化还原活性 vs 惰性"元素价态变化（P6–P7，R0），可类比用于 PBA 中 Fe/Mn 的价态与电荷补偿分析。</w:t>
      </w:r>
    </w:p>
    <w:p/>
    <w:p>
      <w:r>
        <w:br w:type="page"/>
      </w:r>
    </w:p>
    <w:p>
      <w:pPr>
        <w:pStyle w:val="2"/>
        <w:pageBreakBefore w:val="0"/>
      </w:pPr>
      <w:r>
        <w:rPr>
          <w:rFonts w:ascii="Times New Roman" w:hAnsi="Times New Roman" w:eastAsia="宋体"/>
          <w:b/>
          <w:sz w:val="44"/>
        </w:rPr>
        <w:t>6. 延伸思考</w:t>
      </w:r>
    </w:p>
    <w:p>
      <w:pPr>
        <w:spacing w:line="360" w:lineRule="auto"/>
        <w:ind w:firstLine="420"/>
      </w:pPr>
      <w:r>
        <w:rPr>
          <w:rFonts w:ascii="Times New Roman" w:hAnsi="Times New Roman" w:eastAsia="宋体"/>
          <w:b w:val="0"/>
          <w:sz w:val="24"/>
        </w:rPr>
        <w:t>高熵稳定化的本质是用"构型熵收益 + 惰性元素钉扎"对抗相变驱动的失稳（P5，R0）。这一思想已从层状氧化物扩散到 PBA（Hong2025 综述列举高熵 PBA、单晶高熵 PBA 等，R1）。对课题 70 的延伸方向：</w:t>
      </w:r>
      <w:r>
        <w:rPr>
          <w:rFonts w:ascii="Times New Roman" w:hAnsi="Times New Roman" w:eastAsia="宋体"/>
          <w:b/>
          <w:sz w:val="24"/>
        </w:rPr>
        <w:t>在 Na₂MnFe(CN)₆ 共沉淀中引入少量惰性 Ni/Zn/Cu 形成"中/高熵 PBA"，是否能在不大幅牺牲容量的前提下抑制 Mn 的 Jahn-Teller 畸变与溶出、降低结晶水空位缺陷？</w:t>
      </w:r>
      <w:r>
        <w:rPr>
          <w:rFonts w:ascii="Times New Roman" w:hAnsi="Times New Roman" w:eastAsia="宋体"/>
          <w:b w:val="0"/>
          <w:sz w:val="24"/>
        </w:rPr>
        <w:t xml:space="preserve"> 这是把本文方法论平移到毕设体系的、有据可依的开放课题（R2）。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报告完 · 证据优先（R0/R1/R2 分级，结论可回溯至 PDF 页码/章节）</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