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文献精读报告：Recent Advances in Dendrite Suppression Strategies for Solid-State Lithium Batteries: From Interface Engineering to Material Innovations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：Abniel Machín, Francisco Díaz, María C. Cotto, José Ducongé, Francisco Márquez（波多黎各 Universidad Ana G. Méndez）｜</w:t>
      </w:r>
      <w:r>
        <w:rPr>
          <w:rFonts w:ascii="Times New Roman" w:hAnsi="Times New Roman" w:eastAsia="宋体"/>
          <w:b w:val="0"/>
          <w:i/>
          <w:sz w:val="24"/>
        </w:rPr>
        <w:t>Batteries</w:t>
      </w:r>
      <w:r>
        <w:rPr>
          <w:rFonts w:ascii="Times New Roman" w:hAnsi="Times New Roman" w:eastAsia="宋体"/>
          <w:b w:val="0"/>
          <w:sz w:val="24"/>
        </w:rPr>
        <w:t xml:space="preserve"> 2025, 11, 304（37 页，MDPI）｜DOI: 10.3390/batteries11080304（CC BY 4.0）｜出版 2025-08-08｜精读日期 2026-08-21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证据分级：R0=原文事实（附页码/章节锚点）｜R1=外部背景知识｜R2=推断/评价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一句话定位</w:t>
      </w:r>
      <w:r>
        <w:rPr>
          <w:rFonts w:ascii="Times New Roman" w:hAnsi="Times New Roman" w:eastAsia="宋体"/>
          <w:b w:val="0"/>
          <w:sz w:val="24"/>
        </w:rPr>
        <w:t>：一篇聚焦「固态锂电池锂枝晶抑制策略」的最新综述，系统梳理三类固态电解质（硫化物、氧化物、聚合物）中的枝晶机理与「界面工程 → 材料创新 → 力学设计 → 先进表征」四大抑制策略。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核心内容</w:t>
      </w:r>
      <w:r>
        <w:rPr>
          <w:rFonts w:ascii="Times New Roman" w:hAnsi="Times New Roman" w:eastAsia="宋体"/>
          <w:b w:val="0"/>
          <w:sz w:val="24"/>
        </w:rPr>
        <w:t>：先厘清枝晶形成机理（界面应力、晶界、空隙形成、电化学不均匀性）及其对性能/安全的影响；再按电解质类别讨论材料创新、界面工程（人工界面层/涂层/添加剂）、力学设计（纳米/梯度结构、压力调控、自修复）；最后综述原位电镜、同步辐射 XRD、振动光谱、NMR 等表征手段对枝晶机理的实时揭示。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主要结论</w:t>
      </w:r>
      <w:r>
        <w:rPr>
          <w:rFonts w:ascii="Times New Roman" w:hAnsi="Times New Roman" w:eastAsia="宋体"/>
          <w:b w:val="0"/>
          <w:sz w:val="24"/>
        </w:rPr>
        <w:t>：枝晶是 SSLB 可靠性/商业化的首要障碍；即使最硬的陶瓷电解质也会沿晶界/缺陷被穿透；有效抑制必须同时解决「微观界面缺陷引发的成核」与「体相裂纹扩展」两个层面（R0，页 24–25），并走向多功能界面层、杂化电解质与实时诊断工具。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本批共享文献，服务于多个志愿，对课题 23 尤其有「反向印证」价值：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为非晶界面层/非晶电解质提供枝晶角度的支撑</w:t>
      </w:r>
      <w:r>
        <w:rPr>
          <w:rFonts w:ascii="Times New Roman" w:hAnsi="Times New Roman" w:eastAsia="宋体"/>
          <w:b w:val="0"/>
          <w:sz w:val="24"/>
        </w:rPr>
        <w:t xml:space="preserve">：综述明确指出「无晶界的非晶/纳米晶电解质可实现 mA cm⁻² 级电流下的无枝晶运行」，且历史电导率低的短板正在改善（R0，页 25–26）。这正好为课题 23 的 TaCl₅/NbCl₅ </w:t>
      </w:r>
      <w:r>
        <w:rPr>
          <w:rFonts w:ascii="Times New Roman" w:hAnsi="Times New Roman" w:eastAsia="宋体"/>
          <w:b/>
          <w:sz w:val="24"/>
        </w:rPr>
        <w:t>非晶</w:t>
      </w:r>
      <w:r>
        <w:rPr>
          <w:rFonts w:ascii="Times New Roman" w:hAnsi="Times New Roman" w:eastAsia="宋体"/>
          <w:b w:val="0"/>
          <w:sz w:val="24"/>
        </w:rPr>
        <w:t>界面层提供「消除晶界 → 阻断枝晶」的机理依据——非晶不仅稳定化学界面，还有力学抗枝晶优势。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「多层电解质裂纹偏转」思想（Hu 等，Li₆PS₅Cl–Li₃ScCl₆–Li₆PS₅Cl，R0，页 24）</w:t>
      </w:r>
      <w:r>
        <w:rPr>
          <w:rFonts w:ascii="Times New Roman" w:hAnsi="Times New Roman" w:eastAsia="宋体"/>
          <w:b w:val="0"/>
          <w:sz w:val="24"/>
        </w:rPr>
        <w:t>与课题 23 的「界面层夹在 Li₂ZrCl₆ 与锂之间」结构同构：界面层迫使枝晶在层界面偏转、增大路径长度与电阻，而非直穿。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CIOP（临界界面过电位）作为枝晶抗性的量化指标</w:t>
      </w:r>
      <w:r>
        <w:rPr>
          <w:rFonts w:ascii="Times New Roman" w:hAnsi="Times New Roman" w:eastAsia="宋体"/>
          <w:b w:val="0"/>
          <w:sz w:val="24"/>
        </w:rPr>
        <w:t>（R0，页 24）：可作为课题 23 界面层设计效果的评估框架——一个电子绝缘、力学坚韧、亲锂性适中的界面层应显著提高 CIOP。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铁电/压电纳米颗粒「主动」抑制枝晶</w:t>
      </w:r>
      <w:r>
        <w:rPr>
          <w:rFonts w:ascii="Times New Roman" w:hAnsi="Times New Roman" w:eastAsia="宋体"/>
          <w:b w:val="0"/>
          <w:sz w:val="24"/>
        </w:rPr>
        <w:t>（R0，页 26）：与本批 Wang 2022（铁电修饰复合聚合物电解质界面）直接呼应，是「界面工程 + 功能材料」的前沿交叉，对课题 23 的界面层设计提供类比。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 w:val="0"/>
          <w:sz w:val="24"/>
        </w:rPr>
        <w:t>对 7 志愿整体：枝晶/界面稳定性是所有「电解质/界面」类课题（23/24/39/50/70）的共同底层命题，本篇是统一的理论背景。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内容深度解读（按论文自身结构）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1. 引言（页 2–3）</w:t>
      </w:r>
      <w:r>
        <w:rPr>
          <w:rFonts w:ascii="Times New Roman" w:hAnsi="Times New Roman" w:eastAsia="宋体"/>
          <w:b w:val="0"/>
          <w:sz w:val="24"/>
        </w:rPr>
        <w:t>：锂金属负极（3860 mAh g⁻¹、−3.04 V vs SHE、&gt;500 Wh kg⁻¹）是 SSLB 高能量密度的关键；SSE 需同时满足离子电导 ≥10⁻³ S cm⁻¹、电子电导可忽略、力学坚韧。氧化物（LLZO，&gt;5 V 窗口但高界面阻抗/脆）、硫化物（LGPS、Li₆PS₅Cl，&gt;10⁻² S cm⁻¹ 但怕潮产 H₂S）、聚合物（PEO/LiTFSI，柔性但室温电导低）各有短板。产业端 QuantumScape、丰田、Solid Power 原型已 &gt;400 Wh kg⁻¹，但枝晶抑制仍是最大障碍。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2. 锂枝晶机理（页 3–4）</w:t>
      </w:r>
      <w:r>
        <w:rPr>
          <w:rFonts w:ascii="Times New Roman" w:hAnsi="Times New Roman" w:eastAsia="宋体"/>
          <w:b w:val="0"/>
          <w:sz w:val="24"/>
        </w:rPr>
        <w:t>：2.1 成核机理（界面应力、晶界、空隙、电化学不均匀）；2.2 对性能与安全的影响（微短路、容量衰减、热失控风险）。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 抑制策略（页 4–19）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3.1 材料创新</w:t>
      </w:r>
      <w:r>
        <w:rPr>
          <w:rFonts w:ascii="Times New Roman" w:hAnsi="Times New Roman" w:eastAsia="宋体"/>
          <w:b w:val="0"/>
          <w:sz w:val="24"/>
        </w:rPr>
        <w:t>：按硫化物/氧化物/聚合物三类分别讨论。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3.2 界面工程</w:t>
      </w:r>
      <w:r>
        <w:rPr>
          <w:rFonts w:ascii="Times New Roman" w:hAnsi="Times New Roman" w:eastAsia="宋体"/>
          <w:b w:val="0"/>
          <w:sz w:val="24"/>
        </w:rPr>
        <w:t>：人工界面层、表面涂层、化学添加剂（如 Li₃PO₄、LiNbO₃ 涂层）。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3.3 力学设计</w:t>
      </w:r>
      <w:r>
        <w:rPr>
          <w:rFonts w:ascii="Times New Roman" w:hAnsi="Times New Roman" w:eastAsia="宋体"/>
          <w:b w:val="0"/>
          <w:sz w:val="24"/>
        </w:rPr>
        <w:t>：纳米结构/梯度架构、压力调制、自修复材料。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3.4 先进表征</w:t>
      </w:r>
      <w:r>
        <w:rPr>
          <w:rFonts w:ascii="Times New Roman" w:hAnsi="Times New Roman" w:eastAsia="宋体"/>
          <w:b w:val="0"/>
          <w:sz w:val="24"/>
        </w:rPr>
        <w:t>：原位电子显微、同步辐射 XRD、振动光谱、NMR 实时揭示枝晶机理与抑制效果评估。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4. 结论与展望（页 24–26）</w:t>
      </w:r>
      <w:r>
        <w:rPr>
          <w:rFonts w:ascii="Times New Roman" w:hAnsi="Times New Roman" w:eastAsia="宋体"/>
          <w:b w:val="0"/>
          <w:sz w:val="24"/>
        </w:rPr>
        <w:t>：关键量化与机理论断——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Wan 等用混合离子-电子导电界面层原位生成多相界面（含 LiMgSₓ、多孔 LiH–Li₃N、Li–Mg–La 合金），将 CIOP 从裸 Li₆PS₅Cl 的 ~10 mV 提升到 ~220 mV（R0，页 24）。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硬电解质仍会沿晶界/缺陷被穿透；</w:t>
      </w:r>
      <w:r>
        <w:rPr>
          <w:rFonts w:ascii="Times New Roman" w:hAnsi="Times New Roman" w:eastAsia="宋体"/>
          <w:b/>
          <w:sz w:val="24"/>
        </w:rPr>
        <w:t>非晶/纳米晶无晶界电解质可实现 mA cm⁻² 级无枝晶</w:t>
      </w:r>
      <w:r>
        <w:rPr>
          <w:rFonts w:ascii="Times New Roman" w:hAnsi="Times New Roman" w:eastAsia="宋体"/>
          <w:b w:val="0"/>
          <w:sz w:val="24"/>
        </w:rPr>
        <w:t>（R0，页 24）。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Hu 等多层堆叠（Li₆PS₅Cl–Li₃ScCl₆–Li₆PS₅Cl）通过裂纹偏转提高有效临界电流密度（R0，页 24）。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Ning 等揭示「成核 vs 扩展」二分：成核受晶界断裂强度、缺陷尺寸、电流热点控制；扩展受体相断裂韧性、锂丝长度、堆叠压力、循环深度控制；</w:t>
      </w:r>
      <w:r>
        <w:rPr>
          <w:rFonts w:ascii="Times New Roman" w:hAnsi="Times New Roman" w:eastAsia="宋体"/>
          <w:b/>
          <w:sz w:val="24"/>
        </w:rPr>
        <w:t>枝晶一旦萌生，降低堆叠压力反而抑制裂纹扩展</w:t>
      </w:r>
      <w:r>
        <w:rPr>
          <w:rFonts w:ascii="Times New Roman" w:hAnsi="Times New Roman" w:eastAsia="宋体"/>
          <w:b w:val="0"/>
          <w:sz w:val="24"/>
        </w:rPr>
        <w:t>（R0，页 25）。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未来方向：强而可变形电解质、晶界工程/单晶化、</w:t>
      </w:r>
      <w:r>
        <w:rPr>
          <w:rFonts w:ascii="Times New Roman" w:hAnsi="Times New Roman" w:eastAsia="宋体"/>
          <w:b/>
          <w:sz w:val="24"/>
        </w:rPr>
        <w:t>非晶电解质再审视</w:t>
      </w:r>
      <w:r>
        <w:rPr>
          <w:rFonts w:ascii="Times New Roman" w:hAnsi="Times New Roman" w:eastAsia="宋体"/>
          <w:b w:val="0"/>
          <w:sz w:val="24"/>
        </w:rPr>
        <w:t>、自修复/压电铁电纳米颗粒「主动」抗枝晶、分子级预设计人工界面、原位界面形成等（R0，页 25–26）。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成核与扩展需分别治理</w:t>
      </w:r>
      <w:r>
        <w:rPr>
          <w:rFonts w:ascii="Times New Roman" w:hAnsi="Times New Roman" w:eastAsia="宋体"/>
          <w:b w:val="0"/>
          <w:sz w:val="24"/>
        </w:rPr>
        <w:t>：界面缺陷成核（微观）与体相裂纹扩展（宏观）受不同参数控制，单一策略难以同时覆盖（R0，页 25）。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压力悖论</w:t>
      </w:r>
      <w:r>
        <w:rPr>
          <w:rFonts w:ascii="Times New Roman" w:hAnsi="Times New Roman" w:eastAsia="宋体"/>
          <w:b w:val="0"/>
          <w:sz w:val="24"/>
        </w:rPr>
        <w:t>：为保接触施加的堆叠压力，枝晶萌生后反而驱动裂纹前进（R0，页 25），需「智能」压力管理。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空隙/界面脱粘</w:t>
      </w:r>
      <w:r>
        <w:rPr>
          <w:rFonts w:ascii="Times New Roman" w:hAnsi="Times New Roman" w:eastAsia="宋体"/>
          <w:b w:val="0"/>
          <w:sz w:val="24"/>
        </w:rPr>
        <w:t>：锂剥离形成空隙成为下一轮枝晶热点，实用循环下难以根除（R0，页 25）。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规模化缺陷控制</w:t>
      </w:r>
      <w:r>
        <w:rPr>
          <w:rFonts w:ascii="Times New Roman" w:hAnsi="Times New Roman" w:eastAsia="宋体"/>
          <w:b w:val="0"/>
          <w:sz w:val="24"/>
        </w:rPr>
        <w:t>：&gt;100 µm 脆性陶瓷隔膜在大面积上完全无缺陷几乎不可能（R0，页 25）。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表征受限</w:t>
      </w:r>
      <w:r>
        <w:rPr>
          <w:rFonts w:ascii="Times New Roman" w:hAnsi="Times New Roman" w:eastAsia="宋体"/>
          <w:b w:val="0"/>
          <w:sz w:val="24"/>
        </w:rPr>
        <w:t>：原位技术受束流损伤等制约（R0，页 19）。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可借鉴点（对毕设/学习直接有用）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CIOP 指标</w:t>
      </w:r>
      <w:r>
        <w:rPr>
          <w:rFonts w:ascii="Times New Roman" w:hAnsi="Times New Roman" w:eastAsia="宋体"/>
          <w:b w:val="0"/>
          <w:sz w:val="24"/>
        </w:rPr>
        <w:t>（R0，页 24）：课题 23 可将其引入界面层评估，量化「界面层把枝晶成核阈值提升了多少」。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「无晶界非晶 → 抗枝晶」论证</w:t>
      </w:r>
      <w:r>
        <w:rPr>
          <w:rFonts w:ascii="Times New Roman" w:hAnsi="Times New Roman" w:eastAsia="宋体"/>
          <w:b w:val="0"/>
          <w:sz w:val="24"/>
        </w:rPr>
        <w:t>（R0，页 24–26）：为课题 23 非晶界面层的力学优势提供权威综述级引用。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多层裂纹偏转机理</w:t>
      </w:r>
      <w:r>
        <w:rPr>
          <w:rFonts w:ascii="Times New Roman" w:hAnsi="Times New Roman" w:eastAsia="宋体"/>
          <w:b w:val="0"/>
          <w:sz w:val="24"/>
        </w:rPr>
        <w:t>（R0，页 24）：为「在 Li₂ZrCl₆ 与锂之间插层」的结构设计提供力学依据。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铁电/压电主动抗枝晶</w:t>
      </w:r>
      <w:r>
        <w:rPr>
          <w:rFonts w:ascii="Times New Roman" w:hAnsi="Times New Roman" w:eastAsia="宋体"/>
          <w:b w:val="0"/>
          <w:sz w:val="24"/>
        </w:rPr>
        <w:t>（R0，页 26）：与 Wang 2022/2024 两篇共享文献形成互证，可用于毕设界面层功能化的拓展讨论。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「成核 vs 扩展」二分框架</w:t>
      </w:r>
      <w:r>
        <w:rPr>
          <w:rFonts w:ascii="Times New Roman" w:hAnsi="Times New Roman" w:eastAsia="宋体"/>
          <w:b w:val="0"/>
          <w:sz w:val="24"/>
        </w:rPr>
        <w:t>（R0，页 25）：帮助毕设厘清界面层究竟是解决「化学还原失稳」还是「力学枝晶」，避免概念混淆。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（R2）课题 23 的 TaCl₅/NbCl₅ 非晶界面层可同时命中本综述的多个关键词：非晶（无晶界抗枝晶）、界面工程（人工界面层）、多层（夹层偏转）、以及可能的电子绝缘+离子导通（CIOP 提升）。毕设可将本文作为「多目标界面设计」的综述级依据。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（R2）本综述指出铁电/压电颗粒的「主动抗枝晶」目前多停留在初步模拟（R0，页 26），与 Wang 2022/2024 的实验工作互补；课题 23 若引入功能组分，需平衡「主动应力调控」与「化学稳定性」两个维度。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（R2）「降低堆叠压力反而抑制裂纹扩展」这一反直觉发现（R0，页 25）提示界面/力学问题不能线性外推，毕设在讨论界面层力学效应时应保持对非单调效应的警惕。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（R1）本篇以实验与综述视角为主，缺少第一性原理对界面成核能、电子绝缘性的定量计算——这正是课题 23 的 DFT 计算可补位的空白。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分级，结论可回溯至 PDF 页码/章节）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