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网页资源简读：材料牛 · 新加坡国立大学吕力团队 AEM 2023 聚合物固态电解质综述导读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来源链接</w:t>
      </w:r>
      <w:r>
        <w:rPr>
          <w:rFonts w:ascii="Times New Roman" w:hAnsi="Times New Roman" w:eastAsia="宋体"/>
          <w:b w:val="0"/>
          <w:sz w:val="24"/>
        </w:rPr>
        <w:t>：http://www.cailiaoniu.com/?p=254159 ｜ 访问状态：可访问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对应论文</w:t>
      </w:r>
      <w:r>
        <w:rPr>
          <w:rFonts w:ascii="Times New Roman" w:hAnsi="Times New Roman" w:eastAsia="宋体"/>
          <w:b w:val="0"/>
          <w:sz w:val="24"/>
        </w:rPr>
        <w:t>：Xiao Lu, Yumei Wang, Xiaoyu Xu, Binggong Yan, Tian Wu, Li Lu. Adv. Energy Mater. 2023, 2301746, DOI: 10.1002/aenm.202301746（该综述深度精读见《文献精读-AEM2023综述.md》）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（约 380 字）：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该网页是材料牛对新加坡国立大学吕力教授团队 2023 年发表于 </w:t>
      </w:r>
      <w:r>
        <w:rPr>
          <w:rFonts w:ascii="Times New Roman" w:hAnsi="Times New Roman" w:eastAsia="宋体"/>
          <w:b w:val="0"/>
          <w:i/>
          <w:sz w:val="24"/>
        </w:rPr>
        <w:t>Advanced Energy Materials</w:t>
      </w:r>
      <w:r>
        <w:rPr>
          <w:rFonts w:ascii="Times New Roman" w:hAnsi="Times New Roman" w:eastAsia="宋体"/>
          <w:b w:val="0"/>
          <w:sz w:val="24"/>
        </w:rPr>
        <w:t>（IF=27.8）综述《Polymer‐Based Solid‐State Electrolytes for High‐Energy‐Density Lithium-Ion Batteries – Review》的中文导读。第一作者为新加坡国立大学硕士生卢霄与重庆研究院王玉美研究员，通讯作者吕力。综述从"能量密度"视角切入，先比较液态/固态/无机陶瓷/聚合物电解质的性能与锂离子传导机理，指出聚合物固态电解质综合性能最适于高比能固态电池；随后归纳 PEO、PAN、PVDF、PMMA 四大基体的性能缺陷与改性方法；重点剖析正极侧"接触润湿、电化学稳定性、空间电荷层"与负极侧"化学稳定性、锂枝晶"两大类界面问题，并提出原位聚合、一体化正极-电解质、人造 CEI、铁电/介电材料抑制空间电荷、富无机 SEI 等改善策略。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与课题关联</w:t>
      </w:r>
      <w:r>
        <w:rPr>
          <w:rFonts w:ascii="Times New Roman" w:hAnsi="Times New Roman" w:eastAsia="宋体"/>
          <w:b w:val="0"/>
          <w:sz w:val="24"/>
        </w:rPr>
        <w:t>：直接对接课题39（凝胶电解质，John Wang）——本文提到的原位聚合、增塑剂、液体成分共混等"准固态"手段，正是凝胶电解质方向的核心技术；对课题50 的"可放大产线"目标，其"聚合物柔性改善固/固界面润湿"思路提示无机卤化物 SSE 可考虑聚合物/无机复合来改善界面接触。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网页资源简版（基于可访问原文，结论可回溯至网页正文）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