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文献精读报告：Accelerating the discovery of disordered multi-component solid-state electrolytes using machine learning interatomic potentials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：Yanhao Deng, Yan Li, Gopalakrishnan Sai Gautam, Bonan Zhu, Zeyu Deng（新加坡国立大学 MSE）｜</w:t>
      </w:r>
      <w:r>
        <w:rPr>
          <w:rFonts w:ascii="Times New Roman" w:hAnsi="Times New Roman" w:eastAsia="宋体"/>
          <w:b w:val="0"/>
          <w:i/>
          <w:sz w:val="24"/>
        </w:rPr>
        <w:t>Journal of Materials Chemistry A</w:t>
      </w:r>
      <w:r>
        <w:rPr>
          <w:rFonts w:ascii="Times New Roman" w:hAnsi="Times New Roman" w:eastAsia="宋体"/>
          <w:b w:val="0"/>
          <w:sz w:val="24"/>
        </w:rPr>
        <w:t xml:space="preserve"> 2025, 13, 34507–34518｜DOI: 10.1039/d5ta05321h｜收稿 2025-07-01，接受 2025-09-04，出版 2025-09-05｜精读日期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：导师 Zeyu Deng（NUS）本人的方法学论文，建立了一套「结构枚举 + 微调通用 MLIP」的工作流，用于加速无序、多组分固态电解质（SSE）的发现。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：以 MACE 架构为基、</w:t>
      </w:r>
      <w:r>
        <w:rPr>
          <w:rFonts w:ascii="Times New Roman" w:hAnsi="Times New Roman" w:eastAsia="宋体"/>
          <w:b/>
          <w:sz w:val="24"/>
        </w:rPr>
        <w:t>微调通用势 MACE-MP-0a</w:t>
      </w:r>
      <w:r>
        <w:rPr>
          <w:rFonts w:ascii="Times New Roman" w:hAnsi="Times New Roman" w:eastAsia="宋体"/>
          <w:b w:val="0"/>
          <w:sz w:val="24"/>
        </w:rPr>
        <w:t>，采用</w:t>
      </w:r>
      <w:r>
        <w:rPr>
          <w:rFonts w:ascii="Times New Roman" w:hAnsi="Times New Roman" w:eastAsia="宋体"/>
          <w:b/>
          <w:sz w:val="24"/>
        </w:rPr>
        <w:t>多头微调（multi-head fine-tuning）</w:t>
      </w:r>
      <w:r>
        <w:rPr>
          <w:rFonts w:ascii="Times New Roman" w:hAnsi="Times New Roman" w:eastAsia="宋体"/>
          <w:b w:val="0"/>
          <w:sz w:val="24"/>
        </w:rPr>
        <w:t>策略防止灾难性遗忘，并用高效训练数据选择算法，在 NaSICON（Na₁₊ₓZr₂SiₓP₃₋ₓO₁₂）与氧硫化物（Li₃₊ₓP₁₋ₓGeₓS₄₋₄ₓO₄ₓ）两个基准体系验证后，应用到新型卤化物 Li₃InₓY₁₋ₓBr₆yCl₆₋₆y（LIYBC），预测出最优组分 Li₃In₀.₅Y₀.₅Br₃Cl₃，并解析出两类 Li⁺ 迁移路径。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：该工作流把材料模拟时间从「数月」缩短到「数天」（R0，页 8）；每个体系约 2500 个构型即可微调出高精度势；预测的离子电导/活化能与实验及 AIMD 高度一致；证明微调 uMLIP 是探索复杂组分-构型空间、加速下一代固态电池材料发现的强大框架。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本篇是课题 23 最核心的</w:t>
      </w:r>
      <w:r>
        <w:rPr>
          <w:rFonts w:ascii="Times New Roman" w:hAnsi="Times New Roman" w:eastAsia="宋体"/>
          <w:b/>
          <w:sz w:val="24"/>
        </w:rPr>
        <w:t>导师方法学底本</w:t>
      </w:r>
      <w:r>
        <w:rPr>
          <w:rFonts w:ascii="Times New Roman" w:hAnsi="Times New Roman" w:eastAsia="宋体"/>
          <w:b w:val="0"/>
          <w:sz w:val="24"/>
        </w:rPr>
        <w:t>，与毕设直接同源：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技术路线即毕设路线</w:t>
      </w:r>
      <w:r>
        <w:rPr>
          <w:rFonts w:ascii="Times New Roman" w:hAnsi="Times New Roman" w:eastAsia="宋体"/>
          <w:b w:val="0"/>
          <w:sz w:val="24"/>
        </w:rPr>
        <w:t>：课题 23 要「用 DFT + MLIP 设计 TaCl₅/NbCl₅ 非晶界面层」，本文正是这套「DFT 标签 + MACE 微调 + MD 输运/稳定性分析」流程的完整示范，可直接复用其「结构枚举 → 选代表性构型 → 微调 → MD → 性质提取」五步工作流。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同为卤化物、同为无序多组分</w:t>
      </w:r>
      <w:r>
        <w:rPr>
          <w:rFonts w:ascii="Times New Roman" w:hAnsi="Times New Roman" w:eastAsia="宋体"/>
          <w:b w:val="0"/>
          <w:sz w:val="24"/>
        </w:rPr>
        <w:t>：本文处理 Li₃MX₆ 卤化物（Li₃InₓY₁₋ₓBr₆yCl₆₋₆y，页 6–8），与课题 23 的 Li₂ZrCl₆/氯化物界面体系同属卤化物化学空间；其「阴阳离子混合引入构型熵、降低活化能」的结论（R0，页 8）对理解界面层的无序化策略有直接启发。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可复用的工程细节</w:t>
      </w:r>
      <w:r>
        <w:rPr>
          <w:rFonts w:ascii="Times New Roman" w:hAnsi="Times New Roman" w:eastAsia="宋体"/>
          <w:b w:val="0"/>
          <w:sz w:val="24"/>
        </w:rPr>
        <w:t>：SCAN meta-GGA、520 eV 截断、PAW 赝势、GEMDAT 轨迹分析、多头微调防遗忘（R0，页 8–9），都是毕设计算设置的现成模板。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与导师方向的衔接</w:t>
      </w:r>
      <w:r>
        <w:rPr>
          <w:rFonts w:ascii="Times New Roman" w:hAnsi="Times New Roman" w:eastAsia="宋体"/>
          <w:b w:val="0"/>
          <w:sz w:val="24"/>
        </w:rPr>
        <w:t>：本文展示 Deng 组在「卤化物 + MLIP + 无序」上的成熟能力，毕设课题 23 是该能力的自然延伸（从体相卤化物转向界面层），理解本文才能写出与导师风格对齐的方案。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 7 志愿整体：本篇是 24（Li₃PS₄ 离子传导）、47（MLIP 相稳定性）、50（卤化物）的通用方法学支撑，与 MACE2022 构成「架构理论 + 落地实践」的完整方法链。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内容深度解读（按论文自身结构）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引言（页 1–2）</w:t>
      </w:r>
      <w:r>
        <w:rPr>
          <w:rFonts w:ascii="Times New Roman" w:hAnsi="Times New Roman" w:eastAsia="宋体"/>
          <w:b w:val="0"/>
          <w:sz w:val="24"/>
        </w:rPr>
        <w:t>：MLIP 兼具量子精度与经典效率，可做 AIMD 无法企及的大尺度/长时模拟。GNN 势（CGCNN/M3GNet/CHGNet）与等变 GNN（NequIP/MACE）渐成主流；</w:t>
      </w:r>
      <w:r>
        <w:rPr>
          <w:rFonts w:ascii="Times New Roman" w:hAnsi="Times New Roman" w:eastAsia="宋体"/>
          <w:b/>
          <w:sz w:val="24"/>
        </w:rPr>
        <w:t>MACE 用高层体序等变特征 + 仅两层消息传递，实现低计算成本（GPU 上每天可跑纳秒级）</w:t>
      </w:r>
      <w:r>
        <w:rPr>
          <w:rFonts w:ascii="Times New Roman" w:hAnsi="Times New Roman" w:eastAsia="宋体"/>
          <w:b w:val="0"/>
          <w:sz w:val="24"/>
        </w:rPr>
        <w:t>（R0，页 2）。通用势（uMLIP）如 MACE-MP、eSEN、SevenNet、BAMBOO 兴起。作者路线：微调 MACE-MP（版本 0a）而非从头训练。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Results（页 2–8）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训练数据与工作流</w:t>
      </w:r>
      <w:r>
        <w:rPr>
          <w:rFonts w:ascii="Times New Roman" w:hAnsi="Times New Roman" w:eastAsia="宋体"/>
          <w:b w:val="0"/>
          <w:sz w:val="24"/>
        </w:rPr>
        <w:t>：用预训练 uMLIP 跑 MLIP-MD 采样势能面，每 30 结构随机选构型建训练集（页 2–3）；每体系约 2500 构型，配合高保真 SCAN 数据与多头微调。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基准 1：NaSICON（页 3–5）</w:t>
      </w:r>
      <w:r>
        <w:rPr>
          <w:rFonts w:ascii="Times New Roman" w:hAnsi="Times New Roman" w:eastAsia="宋体"/>
          <w:b w:val="0"/>
          <w:sz w:val="24"/>
        </w:rPr>
        <w:t>：验证对经典钠离子导体的适用性，预测与实验/文献一致。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基准 2：LPSGO（页 5–6）</w:t>
      </w:r>
      <w:r>
        <w:rPr>
          <w:rFonts w:ascii="Times New Roman" w:hAnsi="Times New Roman" w:eastAsia="宋体"/>
          <w:b w:val="0"/>
          <w:sz w:val="24"/>
        </w:rPr>
        <w:t>：氧硫化物混合化学空间，检验 MLIP 捕捉混合 SE 化学的能力。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卤化物 LIYBC（页 6–8）</w:t>
      </w:r>
      <w:r>
        <w:rPr>
          <w:rFonts w:ascii="Times New Roman" w:hAnsi="Times New Roman" w:eastAsia="宋体"/>
          <w:b w:val="0"/>
          <w:sz w:val="24"/>
        </w:rPr>
        <w:t>：Li₃InBr₆–Li₃YBr₆–Li₃InCl₆ 三元相图；800 K 下各组分离子电导同量级（0.3–0.62 S cm⁻¹）。</w:t>
      </w:r>
      <w:r>
        <w:rPr>
          <w:rFonts w:ascii="Times New Roman" w:hAnsi="Times New Roman" w:eastAsia="宋体"/>
          <w:b/>
          <w:sz w:val="24"/>
        </w:rPr>
        <w:t>最优 Li₃In₀.₅Y₀.₅Br₃Cl₃：~0.62 S cm⁻¹（800 K）、Ea=0.28 eV</w:t>
      </w:r>
      <w:r>
        <w:rPr>
          <w:rFonts w:ascii="Times New Roman" w:hAnsi="Times New Roman" w:eastAsia="宋体"/>
          <w:b w:val="0"/>
          <w:sz w:val="24"/>
        </w:rPr>
        <w:t>；Li₃InCl₆ 0.57、Li₃In₀.₅Y₀.₅Br₆ 0.54、Li₃InBr₃Cl₃ 0.51 S cm⁻¹（R0，页 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验证</w:t>
      </w:r>
      <w:r>
        <w:rPr>
          <w:rFonts w:ascii="Times New Roman" w:hAnsi="Times New Roman" w:eastAsia="宋体"/>
          <w:b w:val="0"/>
          <w:sz w:val="24"/>
        </w:rPr>
        <w:t>：Li₃YBr₆ 预测 Ea 0.29 eV（AIMD 0.28）；Li₃InCl₆ 预测 0.24 eV（AIMD 0.20），吻合良好（R0，页 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迁移机理（GEMDAT，页 7–8）</w:t>
      </w:r>
      <w:r>
        <w:rPr>
          <w:rFonts w:ascii="Times New Roman" w:hAnsi="Times New Roman" w:eastAsia="宋体"/>
          <w:b w:val="0"/>
          <w:sz w:val="24"/>
        </w:rPr>
        <w:t>：识别两条路径——</w:t>
      </w:r>
      <w:r>
        <w:rPr>
          <w:rFonts w:ascii="Times New Roman" w:hAnsi="Times New Roman" w:eastAsia="宋体"/>
          <w:b/>
          <w:sz w:val="24"/>
        </w:rPr>
        <w:t>面内路径</w:t>
      </w:r>
      <w:r>
        <w:rPr>
          <w:rFonts w:ascii="Times New Roman" w:hAnsi="Times New Roman" w:eastAsia="宋体"/>
          <w:b w:val="0"/>
          <w:sz w:val="24"/>
        </w:rPr>
        <w:t>（4h–4h，经 i₁/i₂/i₃ 三间隙位，锯齿形 zigzag）与</w:t>
      </w:r>
      <w:r>
        <w:rPr>
          <w:rFonts w:ascii="Times New Roman" w:hAnsi="Times New Roman" w:eastAsia="宋体"/>
          <w:b/>
          <w:sz w:val="24"/>
        </w:rPr>
        <w:t>跨面路径</w:t>
      </w:r>
      <w:r>
        <w:rPr>
          <w:rFonts w:ascii="Times New Roman" w:hAnsi="Times New Roman" w:eastAsia="宋体"/>
          <w:b w:val="0"/>
          <w:sz w:val="24"/>
        </w:rPr>
        <w:t>（4g–4g–4h，经 i₄/i₅/i₆），与 Li₃MX₆ 家族已有研究一致（R0，页 7–8）；各向异性弱，无明确方向偏好（R0，页 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Discussion and conclusions（页 8）</w:t>
      </w:r>
      <w:r>
        <w:rPr>
          <w:rFonts w:ascii="Times New Roman" w:hAnsi="Times New Roman" w:eastAsia="宋体"/>
          <w:b w:val="0"/>
          <w:sz w:val="24"/>
        </w:rPr>
        <w:t>：强调微调相比从头训练更稳、泛化更强，可缓解 uMLIP 的系统性软化（systematic softening）；可纳入更高阶泛函（meta-GGA）提保真度；多阴离子混合引入构型熵可降低活化能；未来方向含误差量化、模型蒸馏、进一步加速（R0，页 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Methodology（页 8–9）</w:t>
      </w:r>
      <w:r>
        <w:rPr>
          <w:rFonts w:ascii="Times New Roman" w:hAnsi="Times New Roman" w:eastAsia="宋体"/>
          <w:b w:val="0"/>
          <w:sz w:val="24"/>
        </w:rPr>
        <w:t>：VASP 6.3.2，SCAN meta-GGA，520 eV 平面波截断，PAW（PBE_54）赝势（R0，页 8–9）。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微调中的灾难性遗忘</w:t>
      </w:r>
      <w:r>
        <w:rPr>
          <w:rFonts w:ascii="Times New Roman" w:hAnsi="Times New Roman" w:eastAsia="宋体"/>
          <w:b w:val="0"/>
          <w:sz w:val="24"/>
        </w:rPr>
        <w:t>：naive 微调会遗忘通用势已学知识，需多头策略规避（R0，页 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训练数据选择</w:t>
      </w:r>
      <w:r>
        <w:rPr>
          <w:rFonts w:ascii="Times New Roman" w:hAnsi="Times New Roman" w:eastAsia="宋体"/>
          <w:b w:val="0"/>
          <w:sz w:val="24"/>
        </w:rPr>
        <w:t>：无序多组分体系构型空间巨大，如何选「代表性构型」直接决定势的可靠性（R0，页 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泛函保真度与成本</w:t>
      </w:r>
      <w:r>
        <w:rPr>
          <w:rFonts w:ascii="Times New Roman" w:hAnsi="Times New Roman" w:eastAsia="宋体"/>
          <w:b w:val="0"/>
          <w:sz w:val="24"/>
        </w:rPr>
        <w:t>：SCAN（meta-GGA）更准但更贵；如何平衡 PBE 级预训练与 SCAN 级微调（R0，页 8）。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高温 MD 的相稳定性</w:t>
      </w:r>
      <w:r>
        <w:rPr>
          <w:rFonts w:ascii="Times New Roman" w:hAnsi="Times New Roman" w:eastAsia="宋体"/>
          <w:b w:val="0"/>
          <w:sz w:val="24"/>
        </w:rPr>
        <w:t>：部分组分在 &gt;1100 K 熔化，需在 800–1100 K 区间做输运分析（R0，页 6–7）。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机理的控制因素不明</w:t>
      </w:r>
      <w:r>
        <w:rPr>
          <w:rFonts w:ascii="Times New Roman" w:hAnsi="Times New Roman" w:eastAsia="宋体"/>
          <w:b w:val="0"/>
          <w:sz w:val="24"/>
        </w:rPr>
        <w:t>：不同组分路径偏好不同，源于阴离子/多阴离子基态排列差异，但「控制因素」仍需进一步研究（R0，页 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五步工作流可直接套用</w:t>
      </w:r>
      <w:r>
        <w:rPr>
          <w:rFonts w:ascii="Times New Roman" w:hAnsi="Times New Roman" w:eastAsia="宋体"/>
          <w:b w:val="0"/>
          <w:sz w:val="24"/>
        </w:rPr>
        <w:t>：结构枚举 → 预训练势采样 → 选代表性构型（~2500 个）→ 多头微调 MACE-MP → MLIP-MD + GEMDAT 提取性质，用于课题 23 的 TaCl₅/NbCl₅ 界面层输运与稳定性评估。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可复用的计算参数</w:t>
      </w:r>
      <w:r>
        <w:rPr>
          <w:rFonts w:ascii="Times New Roman" w:hAnsi="Times New Roman" w:eastAsia="宋体"/>
          <w:b w:val="0"/>
          <w:sz w:val="24"/>
        </w:rPr>
        <w:t>：SCAN meta-GGA、520 eV 截断、PAW 赝势、800 K 输运窗口（R0，页 8–9），可作为毕设计算细节的起点。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验证策略</w:t>
      </w:r>
      <w:r>
        <w:rPr>
          <w:rFonts w:ascii="Times New Roman" w:hAnsi="Times New Roman" w:eastAsia="宋体"/>
          <w:b w:val="0"/>
          <w:sz w:val="24"/>
        </w:rPr>
        <w:t>：把预测的 Ea/电导与 AIMD 及实验顶点数据交叉核对（R0，页 7），是毕设「结果可信度」论证的标准做法。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「多头微调防遗忘」</w:t>
      </w:r>
      <w:r>
        <w:rPr>
          <w:rFonts w:ascii="Times New Roman" w:hAnsi="Times New Roman" w:eastAsia="宋体"/>
          <w:b w:val="0"/>
          <w:sz w:val="24"/>
        </w:rPr>
        <w:t>：对含 Ta/Nb/Cl/O 等多化学环境的界面体系尤其重要，避免势在新增元素上漂移。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「构型熵降低活化能」结论</w:t>
      </w:r>
      <w:r>
        <w:rPr>
          <w:rFonts w:ascii="Times New Roman" w:hAnsi="Times New Roman" w:eastAsia="宋体"/>
          <w:b w:val="0"/>
          <w:sz w:val="24"/>
        </w:rPr>
        <w:t>（R0，页 8）：为课题 23 的「非晶/无序界面层有利于导 Li」提供同组文献的内部证据支撑。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（R2）本文证明 Deng 组已熟练掌握「MACE 微调 + 无序卤化物 MD」全流程，课题 23 的界面层计算是这套流程在「界面/异质结」场景的迁移；可预计毕设将复用 MACE-MP 微调 + SCAN 标签 + GEMDAT 分析。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（R2）界面体系比体相更复杂（含两相化学势差、非晶结构、电子绝缘性要求），单纯照搬体相工作流可能不够，还需补充「界面能、电子带隙、还原分解能」等 DFT 级性质作为筛选指标。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（R2）本文的 Li₃InₓY₁₋ₓBr₆yCl₆₋₆y 是无序</w:t>
      </w:r>
      <w:r>
        <w:rPr>
          <w:rFonts w:ascii="Times New Roman" w:hAnsi="Times New Roman" w:eastAsia="宋体"/>
          <w:b/>
          <w:sz w:val="24"/>
        </w:rPr>
        <w:t>体相</w:t>
      </w:r>
      <w:r>
        <w:rPr>
          <w:rFonts w:ascii="Times New Roman" w:hAnsi="Times New Roman" w:eastAsia="宋体"/>
          <w:b w:val="0"/>
          <w:sz w:val="24"/>
        </w:rPr>
        <w:t>，课题 23 的 TaCl₅/NbCl₅ 是无序</w:t>
      </w:r>
      <w:r>
        <w:rPr>
          <w:rFonts w:ascii="Times New Roman" w:hAnsi="Times New Roman" w:eastAsia="宋体"/>
          <w:b/>
          <w:sz w:val="24"/>
        </w:rPr>
        <w:t>界面层</w:t>
      </w:r>
      <w:r>
        <w:rPr>
          <w:rFonts w:ascii="Times New Roman" w:hAnsi="Times New Roman" w:eastAsia="宋体"/>
          <w:b w:val="0"/>
          <w:sz w:val="24"/>
        </w:rPr>
        <w:t>，二者的共同命题是「用无序/混合阴离子稳定高价金属中心并保持导 Li」，可形成「体相经验指导界面设计」的论证闭环。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（R1）MACE-MP 通用势与本文微调策略配合，是当前「低数据量、高精度」SSE 计算的较优解，毕设若数据有限可优先考虑此路线而非从头训练势。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