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文献精读报告：Electrochemical Impedance Spectroscopy—A Tutorial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：Alexandros Ch. Lazanas, Mamas I. Prodromidis（约阿尼纳大学，通讯）/ ACS Measurement Science Au / 2023, 3, 162–193 / DOI: 10.1021/acsmeasuresciau.2c00070 ｜ 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：ACS 官方期刊发表的 EIS（电化学阻抗谱）系统教程，17 个小节覆盖从正弦信号/复数/相量到等效电路拟合再到腐蚀、能源器件、生物传感应用的完整方法论，是共享工具类文献。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：EIS 基于对平衡/稳态体系施加小振幅正弦扰动（ac 电压或电流）并监测响应，把复杂电化学系统在频域"解卷积"成具有不同时间常数 τ=RC 的独立过程（p1–2）。Nyquist 图中一个时间常数对应一个半圆，快过程看高频、慢过程看低频（p2）。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（R0）：EIS 能区分电解液电阻、晶界/体相电导、双电层充放电、电荷转移动力学、扩散传质等不同时间尺度的过程；数据须先通过 Kramers–Kronig 检验再拟合等效电路，且等效电路并非唯一、元件须与物理过程一一对应（p1–2）。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对课题50（卤化物 SSE）是核心测量工具</w:t>
      </w:r>
      <w:r>
        <w:rPr>
          <w:rFonts w:ascii="Times New Roman" w:hAnsi="Times New Roman" w:eastAsia="宋体"/>
          <w:b w:val="0"/>
          <w:sz w:val="24"/>
        </w:rPr>
        <w:t>：Wang2021 测 Li₂ZrCl₆ 离子/电子电导、活化能、湿度暴露前后对比，全部依赖 EIS（Nyquist/Bode/Arrhenius/直流极化）。本教程是学生读懂这些数据图的必备基础。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对课题24（离子传导计算）的实验对照</w:t>
      </w:r>
      <w:r>
        <w:rPr>
          <w:rFonts w:ascii="Times New Roman" w:hAnsi="Times New Roman" w:eastAsia="宋体"/>
          <w:b w:val="0"/>
          <w:sz w:val="24"/>
        </w:rPr>
        <w:t>：EIS 测得的体相/晶界/界面阻抗与活化能，是验证 Li₃PS₄/Li₃MCl₆ 离子传导计算（BVSE、AIMD）的实验锚点。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Li2025 的 DRT 呼应（R2）</w:t>
      </w:r>
      <w:r>
        <w:rPr>
          <w:rFonts w:ascii="Times New Roman" w:hAnsi="Times New Roman" w:eastAsia="宋体"/>
          <w:b w:val="0"/>
          <w:sz w:val="24"/>
        </w:rPr>
        <w:t>：Li2025 用 IS-GEIS+DRT 把阻抗拆成五分量，本教程虽未专述 DRT，但其"多时间常数=多过程"的底层思想正是 DRT 的理论前提。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内容深度解读（按论文结构，标注页码）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EIS 原理与时间常数（p1–2）</w:t>
      </w:r>
      <w:r>
        <w:rPr>
          <w:rFonts w:ascii="Times New Roman" w:hAnsi="Times New Roman" w:eastAsia="宋体"/>
          <w:b w:val="0"/>
          <w:sz w:val="24"/>
        </w:rPr>
        <w:t>：假设体系为线性时不变系统，EIS 是"传递函数"技术。时间常数 τ=RC（单位 s）；不同过程 τ 不同。典型含法拉第反应的旋转圆盘电极体系中，双电层充电 τ=0.04 ms(4.1 kHz)、法拉第反应 τ=0.51 ms(310 Hz)、扩散 τ=0.41 s(0.4 Hz)（p2）。半圆峰频处 fp=(2πτ)⁻¹，要求 2πfp·τ≫1 才能看到完整半圆（p2）。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频率范围与仪器（p2–3）</w:t>
      </w:r>
      <w:r>
        <w:rPr>
          <w:rFonts w:ascii="Times New Roman" w:hAnsi="Times New Roman" w:eastAsia="宋体"/>
          <w:b w:val="0"/>
          <w:sz w:val="24"/>
        </w:rPr>
        <w:t>：商品化仪器频率范围约 10 μHz–1 MHz；多晶固体离子导体中离子运动时间常数在微秒级，需 MHz 级激励（对应 Wang2021 用 35 MHz 测 LZC 晶界）；低频受体系稳定性限制（10 μHz 单点需 27.8 h）。100 kHz–0.1 Hz 共 60 点约 2–3 min。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数据验证与等效电路（p2, p22–24）</w:t>
      </w:r>
      <w:r>
        <w:rPr>
          <w:rFonts w:ascii="Times New Roman" w:hAnsi="Times New Roman" w:eastAsia="宋体"/>
          <w:b w:val="0"/>
          <w:sz w:val="24"/>
        </w:rPr>
        <w:t>：Kramers–Kronig 检验评估数据有效性；等效电路非唯一、元件越多拟合越好但须符合物理逻辑；残差应小且随机分布（p23）。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核心元件（Randles 电路及扩展，p4–23）</w:t>
      </w:r>
      <w:r>
        <w:rPr>
          <w:rFonts w:ascii="Times New Roman" w:hAnsi="Times New Roman" w:eastAsia="宋体"/>
          <w:b w:val="0"/>
          <w:sz w:val="24"/>
        </w:rPr>
        <w:t>：电阻 R（欧姆）、电容 C、常相位元件 CPE（非理想电容）、Warburg 阻抗（半无限扩散/有限扩散的反射/透射边界）、Gerischer 元件（化学-电化学反应偶联半无限扩散）、多孔电极传输线模型、电感行为等。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锂离子电池应用（17.1 节，p23–24）</w:t>
      </w:r>
      <w:r>
        <w:rPr>
          <w:rFonts w:ascii="Times New Roman" w:hAnsi="Times New Roman" w:eastAsia="宋体"/>
          <w:b w:val="0"/>
          <w:sz w:val="24"/>
        </w:rPr>
        <w:t>：锂电 Nyquist 图中，高频额外半圆对应 SEI（液态电解液在负极表面分解形成的有机层）界面特性，中频半圆对应电荷转移，低频 Warburg 对应 Li⁺ 扩散。高频可能出现电感环（SEI 初始不稳定），其消失可作为 SEI 稳定的线索（p24）。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固态/混合电解质（17.1 节，p24–25）</w:t>
      </w:r>
      <w:r>
        <w:rPr>
          <w:rFonts w:ascii="Times New Roman" w:hAnsi="Times New Roman" w:eastAsia="宋体"/>
          <w:b w:val="0"/>
          <w:sz w:val="24"/>
        </w:rPr>
        <w:t>：使用固态电解质时，高频区出现</w:t>
      </w:r>
      <w:r>
        <w:rPr>
          <w:rFonts w:ascii="Times New Roman" w:hAnsi="Times New Roman" w:eastAsia="宋体"/>
          <w:b/>
          <w:sz w:val="24"/>
        </w:rPr>
        <w:t>两个半圆</w:t>
      </w:r>
      <w:r>
        <w:rPr>
          <w:rFonts w:ascii="Times New Roman" w:hAnsi="Times New Roman" w:eastAsia="宋体"/>
          <w:b w:val="0"/>
          <w:sz w:val="24"/>
        </w:rPr>
        <w:t>——晶粒内部（体相 BG）电荷转移与更导电的晶界（GB）电荷转移；全固态体系存在"固-固"界面接触问题，故发展出固液混合（SE/LE）体系。示例 Li|ILE|SE|Li 对称电池 Nyquist 图出现四个半圆、拆成五个时间常数（低频两个为 SE/ILE 相界与 SEI，中频为 GB，高频为 BG，另加锂金属电化学反应），且完整识别 BG 半圆需 &gt;5 MHz 激励（p25）。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等效电路非唯一性（R0, p2）</w:t>
      </w:r>
      <w:r>
        <w:rPr>
          <w:rFonts w:ascii="Times New Roman" w:hAnsi="Times New Roman" w:eastAsia="宋体"/>
          <w:b w:val="0"/>
          <w:sz w:val="24"/>
        </w:rPr>
        <w:t>：同一谱图可拟合多种电路，元件须与物理过程对应，否则是"数学拟合"而非"机理建模"。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高频测量仪器门槛（R0, p25）</w:t>
      </w:r>
      <w:r>
        <w:rPr>
          <w:rFonts w:ascii="Times New Roman" w:hAnsi="Times New Roman" w:eastAsia="宋体"/>
          <w:b w:val="0"/>
          <w:sz w:val="24"/>
        </w:rPr>
        <w:t>：识别固体电解质体相/晶界需 &gt;5 MHz 高频，普通仪器达不到，需高性能频响分析仪。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低频测量耗时（R0, p2）</w:t>
      </w:r>
      <w:r>
        <w:rPr>
          <w:rFonts w:ascii="Times New Roman" w:hAnsi="Times New Roman" w:eastAsia="宋体"/>
          <w:b w:val="0"/>
          <w:sz w:val="24"/>
        </w:rPr>
        <w:t>：极低频点耗时极长（10 μHz 单点 27.8 h），且体系须长期稳定，实际受限于稳定性。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数据有效性判定（R0, p23）</w:t>
      </w:r>
      <w:r>
        <w:rPr>
          <w:rFonts w:ascii="Times New Roman" w:hAnsi="Times New Roman" w:eastAsia="宋体"/>
          <w:b w:val="0"/>
          <w:sz w:val="24"/>
        </w:rPr>
        <w:t>：必须先过 Kramers–Kronig 检验，否则拟合结果不可靠。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读 Nyquist 图的"半圆=时间常数"心法（R0, p2）</w:t>
      </w:r>
      <w:r>
        <w:rPr>
          <w:rFonts w:ascii="Times New Roman" w:hAnsi="Times New Roman" w:eastAsia="宋体"/>
          <w:b w:val="0"/>
          <w:sz w:val="24"/>
        </w:rPr>
        <w:t>：一个半圆对应一个过程，半圆数=可分辨过程数，是快速判读 SSE 阻抗谱的核心技巧。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固/固界面的高频双半圆判据（R0, p24–25）</w:t>
      </w:r>
      <w:r>
        <w:rPr>
          <w:rFonts w:ascii="Times New Roman" w:hAnsi="Times New Roman" w:eastAsia="宋体"/>
          <w:b w:val="0"/>
          <w:sz w:val="24"/>
        </w:rPr>
        <w:t>：高频两个半圆分别归体相与晶界，是课题50 液相合成 Li₃MCl₆ 后区分"体相电导"与"晶界阻抗"的操作指南。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时间常数估算选频范围（R0, p2）</w:t>
      </w:r>
      <w:r>
        <w:rPr>
          <w:rFonts w:ascii="Times New Roman" w:hAnsi="Times New Roman" w:eastAsia="宋体"/>
          <w:b w:val="0"/>
          <w:sz w:val="24"/>
        </w:rPr>
        <w:t>：先估 τ 再定频率窗，避免漏掉快/慢过程。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Kramers–Kronig 检验（R0, p23）</w:t>
      </w:r>
      <w:r>
        <w:rPr>
          <w:rFonts w:ascii="Times New Roman" w:hAnsi="Times New Roman" w:eastAsia="宋体"/>
          <w:b w:val="0"/>
          <w:sz w:val="24"/>
        </w:rPr>
        <w:t>：拟合前必做，确保数据线性因果有效。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CPE/Warburg 元件的物理解释（R0）</w:t>
      </w:r>
      <w:r>
        <w:rPr>
          <w:rFonts w:ascii="Times New Roman" w:hAnsi="Times New Roman" w:eastAsia="宋体"/>
          <w:b w:val="0"/>
          <w:sz w:val="24"/>
        </w:rPr>
        <w:t>：CPE 反映电极表面粗糙/非理想双电层，Warburg 反映扩散——是 SSE 界面分析中常用的判读依据。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Arrhenius 活化能提取（R1/R0）</w:t>
      </w:r>
      <w:r>
        <w:rPr>
          <w:rFonts w:ascii="Times New Roman" w:hAnsi="Times New Roman" w:eastAsia="宋体"/>
          <w:b w:val="0"/>
          <w:sz w:val="24"/>
        </w:rPr>
        <w:t>：把不同温度下的离子电导率作 ln(σT) 对 1/T 图，斜率即为迁移活化能，是 Wang2021 判读 as-milled/退火 LZC 电导差异、以及课题50 评估液相合成 Li₃MCl₆ 离子传输机制的关键定量手段。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EIS 与 BVSE/计算的互补（R2）</w:t>
      </w:r>
      <w:r>
        <w:rPr>
          <w:rFonts w:ascii="Times New Roman" w:hAnsi="Times New Roman" w:eastAsia="宋体"/>
          <w:b w:val="0"/>
          <w:sz w:val="24"/>
        </w:rPr>
        <w:t>：EIS 给宏观"总电导率+活化能"，BVSE/AIMD 给微观"迁移势垒+路径"，二者结合才能完整解释（Wang2021 正是用 EIS 测值+BVSE 计算共同定位高电导率来源）。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DRT 的时间常数分解（R1/R2）</w:t>
      </w:r>
      <w:r>
        <w:rPr>
          <w:rFonts w:ascii="Times New Roman" w:hAnsi="Times New Roman" w:eastAsia="宋体"/>
          <w:b w:val="0"/>
          <w:sz w:val="24"/>
        </w:rPr>
        <w:t>：本教程的"多时间常数"思想是 DRT（弛豫时间分布）方法的基础，Li2025 用 DRT 拆五分量正是这一思想的工程化，可作进阶学习方向。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湿度测试的测量误差（R2）</w:t>
      </w:r>
      <w:r>
        <w:rPr>
          <w:rFonts w:ascii="Times New Roman" w:hAnsi="Times New Roman" w:eastAsia="宋体"/>
          <w:b w:val="0"/>
          <w:sz w:val="24"/>
        </w:rPr>
        <w:t>：Wang2021 用"不同 pellet 测前后电导率"说明厚度/直径测量误差会导致微小差异，本教程的准确性轮廓图（accuracy contour plots）可解释此类系统误差来源。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液相合成产物的晶界工程（R2）</w:t>
      </w:r>
      <w:r>
        <w:rPr>
          <w:rFonts w:ascii="Times New Roman" w:hAnsi="Times New Roman" w:eastAsia="宋体"/>
          <w:b w:val="0"/>
          <w:sz w:val="24"/>
        </w:rPr>
        <w:t>：若课题50 液相法能制出低晶界阻抗（甚至无晶界半圆，如 Wang2021 as-milled LZC）的产物，将是一条"通过工艺优化离子传导"的验证路径。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