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文献精读报告：The Design Space of E(3)-Equivariant Atom-Centered Interatomic Potentials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：Ilyes Batatia, Simon Batzner, Dávid Péter Kovács, Albert Musaelian, Gregor N. C. Simm, Ralf Drautz, Christoph Ortner, Boris Kozinsky, Gábor Csányi（剑桥大学、哈佛大学、ENS Paris-Saclay、波鸿鲁尔大学、UBC、Bosch 等）｜arXiv:2205.06643v2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stat.ML]，2022-11-24｜精读日期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：机器学习原子间势（MLIP）领域的方法学奠基论文，用统一的 Multi-ACE 框架把此前两大主流模型——原子簇展开（ACE）与神经等变势（NequIP）——纳入同一「设计空间」，并据此提炼出更简洁的 BOTNet 模型。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 xml:space="preserve">：作者构建 Multi-ACE 数学框架：把 ACE 重写为多层架构中的「一层」，把 NequIP 的线性化版本理解为「一个更大的多项式模型的稀疏化」；据此系统消融（ablation）NequIP 的各个设计选择（径向基、非线性激活、读出、归一化等），找出影响精度、平滑性与外推能力的关键要素，并给出新模型 </w:t>
      </w:r>
      <w:r>
        <w:rPr>
          <w:rFonts w:ascii="Times New Roman" w:hAnsi="Times New Roman" w:eastAsia="宋体"/>
          <w:b/>
          <w:sz w:val="24"/>
        </w:rPr>
        <w:t>BOTNet（Body-Ordered-Tensor-Network，体序张量网络）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：等变图神经网络家族在分子基准上平均比核方法/线性/前馈网络方法精度高约 2 倍；BOTNet 在保留 NequIP 最核心组件（等变张量积 + 可学习残差架构）的同时去除次要设计，达到与 NequIP 相当甚至更优的精度，且在极端外推（1200 K 二面角扫描）上比 NequIP 优约 20%、比其它模型优 2 倍以上（R0，页 20–21）。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本批共享文献，服务于毕设 22/24/47 以及 23 的「MLIP」方法学支柱。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为课题 23/47「用 MLIP 做相稳定性/界面计算」提供工具选型依据</w:t>
      </w:r>
      <w:r>
        <w:rPr>
          <w:rFonts w:ascii="Times New Roman" w:hAnsi="Times New Roman" w:eastAsia="宋体"/>
          <w:b w:val="0"/>
          <w:sz w:val="24"/>
        </w:rPr>
        <w:t>：MACE/BOTNet 这类 E(3)-等变、体序、消息传递势，在精度、数据效率与外推性上显著优于传统描述子（SOAP/ACSF）+ 线性/核拟合的方法（R0，页 20）。对非晶 TaCl₅/NbCl₅ 界面层这类无序、多组分、远离训练分布的新结构，</w:t>
      </w:r>
      <w:r>
        <w:rPr>
          <w:rFonts w:ascii="Times New Roman" w:hAnsi="Times New Roman" w:eastAsia="宋体"/>
          <w:b/>
          <w:sz w:val="24"/>
        </w:rPr>
        <w:t>外推能力</w:t>
      </w:r>
      <w:r>
        <w:rPr>
          <w:rFonts w:ascii="Times New Roman" w:hAnsi="Times New Roman" w:eastAsia="宋体"/>
          <w:b w:val="0"/>
          <w:sz w:val="24"/>
        </w:rPr>
        <w:t>是成败关键，而本文恰好用 3BPA 数据集证明了 BOTNet/MACE 的强外推（R0，页 20–21）。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「精度 vs. 成本」的权衡指南</w:t>
      </w:r>
      <w:r>
        <w:rPr>
          <w:rFonts w:ascii="Times New Roman" w:hAnsi="Times New Roman" w:eastAsia="宋体"/>
          <w:b w:val="0"/>
          <w:sz w:val="24"/>
        </w:rPr>
        <w:t>：本文的消融研究明确哪些设计「必要」（等变张量积、残差、内部归一化）、哪些「可省」（非等变非线性激活等，R0，页 24 结语），对毕设选型（如是否用更高体序、是否加非线性）有直接指导。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数据效率</w:t>
      </w:r>
      <w:r>
        <w:rPr>
          <w:rFonts w:ascii="Times New Roman" w:hAnsi="Times New Roman" w:eastAsia="宋体"/>
          <w:b w:val="0"/>
          <w:sz w:val="24"/>
        </w:rPr>
        <w:t>：rMD17 上仅用 1000 个构型即可达 SOTA 精度（R0，页 20），说明用少量 DFT 标签即可训练高质量 MLIP——这正是课题 23「DFT + MLIP」闭环中控制 DFT 成本的关键。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对 22（LLM Agent 热输运）、24（Li₃PS₄ 离子传导）同样适用：MACE 类势可作为导热/扩散模拟的力场引擎。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I. 引言（页 1–2）</w:t>
      </w:r>
      <w:r>
        <w:rPr>
          <w:rFonts w:ascii="Times New Roman" w:hAnsi="Times New Roman" w:eastAsia="宋体"/>
          <w:b w:val="0"/>
          <w:sz w:val="24"/>
        </w:rPr>
        <w:t>：回顾 MLIP 两条路线——（a）基于描述子（ACSF、SOAP，可视为 ACE 特例）；（b）消息传递神经网络（MPNN）。关键节点：Cormorant/TFN/steerable CNN 引入</w:t>
      </w:r>
      <w:r>
        <w:rPr>
          <w:rFonts w:ascii="Times New Roman" w:hAnsi="Times New Roman" w:eastAsia="宋体"/>
          <w:b/>
          <w:sz w:val="24"/>
        </w:rPr>
        <w:t>等变内部特征</w:t>
      </w:r>
      <w:r>
        <w:rPr>
          <w:rFonts w:ascii="Times New Roman" w:hAnsi="Times New Roman" w:eastAsia="宋体"/>
          <w:b w:val="0"/>
          <w:sz w:val="24"/>
        </w:rPr>
        <w:t>，NequIP 使精度比当时 SOTA 提升约 2 倍（R0，页 2）。本文提出 Multi-ACE 统一二者。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II. 消息传递神经网络势（页 2–5）</w:t>
      </w:r>
      <w:r>
        <w:rPr>
          <w:rFonts w:ascii="Times New Roman" w:hAnsi="Times New Roman" w:eastAsia="宋体"/>
          <w:b w:val="0"/>
          <w:sz w:val="24"/>
        </w:rPr>
        <w:t>：建立 MPNN、等变性（equivariance）、体序（body-order）的记号与语言。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III. 等变原子簇展开（页 5–8）</w:t>
      </w:r>
      <w:r>
        <w:rPr>
          <w:rFonts w:ascii="Times New Roman" w:hAnsi="Times New Roman" w:eastAsia="宋体"/>
          <w:b w:val="0"/>
          <w:sz w:val="24"/>
        </w:rPr>
        <w:t>：回顾 ACE 及其到等变性质的扩展。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IV. Multi-ACE：等变原子间势的通用框架（页 8–14）</w:t>
      </w:r>
      <w:r>
        <w:rPr>
          <w:rFonts w:ascii="Times New Roman" w:hAnsi="Times New Roman" w:eastAsia="宋体"/>
          <w:b w:val="0"/>
          <w:sz w:val="24"/>
        </w:rPr>
        <w:t>：核心理论章节，将等变 ACE 扩展为多层消息传递的 Multi-ACE，统一此前各模型的构造。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V. BOTNet（页 14–16）</w:t>
      </w:r>
      <w:r>
        <w:rPr>
          <w:rFonts w:ascii="Times New Roman" w:hAnsi="Times New Roman" w:eastAsia="宋体"/>
          <w:b w:val="0"/>
          <w:sz w:val="24"/>
        </w:rPr>
        <w:t>：新模型——保留 NequIP 最关键要素（等变张量积、可学习残差架构），但在径向基、非线性激活、读出函数上做不同选择，成为「显式体序的 MPNN」，架构可解释、模块化，便于快速实验（R0，页 2、页 24）。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VI. 数据集（页 16）</w:t>
      </w:r>
      <w:r>
        <w:rPr>
          <w:rFonts w:ascii="Times New Roman" w:hAnsi="Times New Roman" w:eastAsia="宋体"/>
          <w:b w:val="0"/>
          <w:sz w:val="24"/>
        </w:rPr>
        <w:t>：rMD17（10 个小分子）、3BPA（3 旋转键柔性分子，测外推）等。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VII. 软件（页 17）</w:t>
      </w:r>
      <w:r>
        <w:rPr>
          <w:rFonts w:ascii="Times New Roman" w:hAnsi="Times New Roman" w:eastAsia="宋体"/>
          <w:b w:val="0"/>
          <w:sz w:val="24"/>
        </w:rPr>
        <w:t>：BOTNet 实现代码。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VIII. 等变原子间势中的设计选择（页 17–19）</w:t>
      </w:r>
      <w:r>
        <w:rPr>
          <w:rFonts w:ascii="Times New Roman" w:hAnsi="Times New Roman" w:eastAsia="宋体"/>
          <w:b w:val="0"/>
          <w:sz w:val="24"/>
        </w:rPr>
        <w:t>：系统消融 NequIP 的各个组件。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IX. 归一化（页 19–20）</w:t>
      </w:r>
      <w:r>
        <w:rPr>
          <w:rFonts w:ascii="Times New Roman" w:hAnsi="Times New Roman" w:eastAsia="宋体"/>
          <w:b w:val="0"/>
          <w:sz w:val="24"/>
        </w:rPr>
        <w:t>：强调</w:t>
      </w:r>
      <w:r>
        <w:rPr>
          <w:rFonts w:ascii="Times New Roman" w:hAnsi="Times New Roman" w:eastAsia="宋体"/>
          <w:b/>
          <w:sz w:val="24"/>
        </w:rPr>
        <w:t>内部归一化与数据归一化对精度和外推都至关重要</w:t>
      </w:r>
      <w:r>
        <w:rPr>
          <w:rFonts w:ascii="Times New Roman" w:hAnsi="Times New Roman" w:eastAsia="宋体"/>
          <w:b w:val="0"/>
          <w:sz w:val="24"/>
        </w:rPr>
        <w:t>（R0，页 24 结语）。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X. 基准实验（页 20–23）</w:t>
      </w:r>
      <w:r>
        <w:rPr>
          <w:rFonts w:ascii="Times New Roman" w:hAnsi="Times New Roman" w:eastAsia="宋体"/>
          <w:b w:val="0"/>
          <w:sz w:val="24"/>
        </w:rPr>
        <w:t>：rMD17 上 BOTNet 与 NequIP 达 SOTA、远超其它方法（R0，页 20）；3BPA 外推测试中 300 K 域内二者相当、600 K 二者比线性 ACE 优 2 倍、</w:t>
      </w:r>
      <w:r>
        <w:rPr>
          <w:rFonts w:ascii="Times New Roman" w:hAnsi="Times New Roman" w:eastAsia="宋体"/>
          <w:b/>
          <w:sz w:val="24"/>
        </w:rPr>
        <w:t>1200 K 极端外推 BOTNet 最优（比 NequIP 优 ~20%）</w:t>
      </w:r>
      <w:r>
        <w:rPr>
          <w:rFonts w:ascii="Times New Roman" w:hAnsi="Times New Roman" w:eastAsia="宋体"/>
          <w:b w:val="0"/>
          <w:sz w:val="24"/>
        </w:rPr>
        <w:t>（R0，页 20–21）；图 10 的二面角扫描与质子转移展示 BOTNet/NequIP 对 DFT 势能面的平滑外推（R0，页 24）。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XI. 结论（页 24）</w:t>
      </w:r>
      <w:r>
        <w:rPr>
          <w:rFonts w:ascii="Times New Roman" w:hAnsi="Times New Roman" w:eastAsia="宋体"/>
          <w:b w:val="0"/>
          <w:sz w:val="24"/>
        </w:rPr>
        <w:t>：总结 Multi-ACE 框架与 BOTNet 的贡献，指出「局部多体特征 + 消息传递」仍是未探索的设计空间（R0，页 24）。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等变性的实现复杂度</w:t>
      </w:r>
      <w:r>
        <w:rPr>
          <w:rFonts w:ascii="Times New Roman" w:hAnsi="Times New Roman" w:eastAsia="宋体"/>
          <w:b w:val="0"/>
          <w:sz w:val="24"/>
        </w:rPr>
        <w:t>：等变张量积通过 Clebsch-Gordan 系数耦合特征（R0，页 2），实现与调试门槛高。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外推不确定性</w:t>
      </w:r>
      <w:r>
        <w:rPr>
          <w:rFonts w:ascii="Times New Roman" w:hAnsi="Times New Roman" w:eastAsia="宋体"/>
          <w:b w:val="0"/>
          <w:sz w:val="24"/>
        </w:rPr>
        <w:t>：远离训练分布时（1200 K）所有模型误差都上升（R0，页 21），对非晶界面的新奇构型需谨慎。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体序/非线性与成本的权衡</w:t>
      </w:r>
      <w:r>
        <w:rPr>
          <w:rFonts w:ascii="Times New Roman" w:hAnsi="Times New Roman" w:eastAsia="宋体"/>
          <w:b w:val="0"/>
          <w:sz w:val="24"/>
        </w:rPr>
        <w:t>：更高体序、更深层、非线性激活可提精度但增加计算量与训练难度；本文只做了有限消融，「局部多体特征 + 消息传递」尚属空白（R0，页 24）。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归一化的敏感性</w:t>
      </w:r>
      <w:r>
        <w:rPr>
          <w:rFonts w:ascii="Times New Roman" w:hAnsi="Times New Roman" w:eastAsia="宋体"/>
          <w:b w:val="0"/>
          <w:sz w:val="24"/>
        </w:rPr>
        <w:t>：内部/数据归一化若处理不当会显著损害精度与外推（R0，页 24），是工程上的易错点。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工具选型结论</w:t>
      </w:r>
      <w:r>
        <w:rPr>
          <w:rFonts w:ascii="Times New Roman" w:hAnsi="Times New Roman" w:eastAsia="宋体"/>
          <w:b w:val="0"/>
          <w:sz w:val="24"/>
        </w:rPr>
        <w:t>：对需要 DFT 级精度 + 强外推的卤化物界面/非晶体系，优先选 E(3)-等变体序消息传递势（MACE 家族），而非 SOAP-GAP 类描述子势（R0，页 20）。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「必备设计」清单</w:t>
      </w:r>
      <w:r>
        <w:rPr>
          <w:rFonts w:ascii="Times New Roman" w:hAnsi="Times New Roman" w:eastAsia="宋体"/>
          <w:b w:val="0"/>
          <w:sz w:val="24"/>
        </w:rPr>
        <w:t>：等变张量积 + 可学习残差 + 内部归一化（R0，页 24），可作为毕设 MLIP 训练的调参基线。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数据效率标杆</w:t>
      </w:r>
      <w:r>
        <w:rPr>
          <w:rFonts w:ascii="Times New Roman" w:hAnsi="Times New Roman" w:eastAsia="宋体"/>
          <w:b w:val="0"/>
          <w:sz w:val="24"/>
        </w:rPr>
        <w:t>：~1000 构型/分子即可达 SOTA（R0，页 20），可据此估算毕设 DFT 标签数据量。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外推验证方法</w:t>
      </w:r>
      <w:r>
        <w:rPr>
          <w:rFonts w:ascii="Times New Roman" w:hAnsi="Times New Roman" w:eastAsia="宋体"/>
          <w:b w:val="0"/>
          <w:sz w:val="24"/>
        </w:rPr>
        <w:t>：用「训练温区外的高温/极端构型测试集」量化外推能力（3BPA 的 300→600→1200 K 设计，R0，页 20–21），可直接套用到毕设对界面非晶结构的验证。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学习价值：理解「描述子势 vs 消息传递势」「不变 vs 等变特征」「体序展开」这些 MLIP 核心概念及其统一关系。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（R1/R2）本文是随后发表的 </w:t>
      </w:r>
      <w:r>
        <w:rPr>
          <w:rFonts w:ascii="Times New Roman" w:hAnsi="Times New Roman" w:eastAsia="宋体"/>
          <w:b/>
          <w:sz w:val="24"/>
        </w:rPr>
        <w:t>MACE</w:t>
      </w:r>
      <w:r>
        <w:rPr>
          <w:rFonts w:ascii="Times New Roman" w:hAnsi="Times New Roman" w:eastAsia="宋体"/>
          <w:b w:val="0"/>
          <w:sz w:val="24"/>
        </w:rPr>
        <w:t>（Batatia 等，NeurIPS 2022）的理论前身，MACE 已成为材料领域主流等变 MLIP，并发展出「MACE-MP 通用势」广泛用于高通量计算；课题 23/47 若采用 MACE 做 TaCl₅/NbCl₅ 非晶界面与无序多组分 SSE 的势能面，可追溯方法学源头至本文。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（R2）本文基准以有机小分子为主，而卤化物界面含高价过渡金属（Ta⁵⁺/Nb⁵⁺）与长程静电，跨体系迁移时需补充含 d 电子、多体效应的训练数据（R2），这是把 MACE 从分子迁移到无机固态体系时的潜在精度风险。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（R2）「局部多体特征 + 消息传递」的未探索空间（R0，页 24）提示：未来更高体序的 MACE 变体可能在强关联界面体系上进一步提升精度，值得毕设展望。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（R2）结合 Hohenberg-Kohn 1964（本批第 4 篇）：DFT 提供物理上「正确」的能量/力标签，MACE 提供「可放大」的势能面近似，二者构成课题 23「精确 + 加速」闭环的两个端点。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