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文献精读报告：酸性析氧反应——机理、催化剂分类与增强策略（Acidic oxygen evolution reaction: Mechanism, catalyst classification, and enhancement strategies）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：Qianli Ma（马千里）、Shichun Mu（木士春，通讯；武汉理工大学先进材料合成与处理技术国家重点实验室／佛山仙湖实验室燃料电池材料实验室）｜</w:t>
      </w:r>
      <w:r>
        <w:rPr>
          <w:rFonts w:ascii="Times New Roman" w:hAnsi="Times New Roman" w:eastAsia="宋体"/>
          <w:b w:val="0"/>
          <w:i/>
          <w:sz w:val="24"/>
        </w:rPr>
        <w:t>Interdisciplinary Materials</w:t>
      </w:r>
      <w:r>
        <w:rPr>
          <w:rFonts w:ascii="Times New Roman" w:hAnsi="Times New Roman" w:eastAsia="宋体"/>
          <w:b w:val="0"/>
          <w:sz w:val="24"/>
        </w:rPr>
        <w:t>（武汉理工大学与 Wiley 联合出版，开放获取）2023, 2: 53–90｜DOI: 10.1002/idm2.12059｜精读日期 2026-09-09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证据分级</w:t>
      </w:r>
      <w:r>
        <w:rPr>
          <w:rFonts w:ascii="Times New Roman" w:hAnsi="Times New Roman" w:eastAsia="宋体"/>
          <w:b w:val="0"/>
          <w:sz w:val="24"/>
        </w:rPr>
        <w:t>：R0=原文事实（页码锚点 = 提取文本的 PDF 版式页，原刊页码 = PDF+52）｜R1=外部背景｜R2=推断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本文是面向酸性 OER 电催化剂的系统综述，旨在为 PEM 电解水制氢（PEMWE）提供"机理—材料—策略"全景图。开篇论证 PEMWE 优势：H⁺ 在膜内迁移率远高于 OH⁻，欧姆损耗低、可高压运行抑制氢气窜入阳极的爆炸风险、响应快（p.1-2）；瓶颈在阳极析氧反应（OER）——四电子质子耦合动力学缓慢，酸性强腐蚀使催化剂长期运行面临巨大挑战（p.2）。文中明确指出：迄今唯一能在酸性介质中长期高效驱动 OER 的催化剂是金红石型 IrO₂（rutile IrO₂），但其丰度低、成本高、活性平庸；另一商业基准 RuO₂ 活性高、价格低，却易被过氧化为可溶 RuO₄ 而失活（p.2）。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综述结构四段式：①机理——吸附质演化机理（adsorbate evolution mechanism, AEM）与晶格氧机理（lattice oxygen mechanism, LOM）的比较；②催化剂三类——贵金属基、非贵金属基、碳基材料；③活性增强七策略——组分、载体、形貌、原子掺杂、缺陷、应变、阴离子调控；④稳定化五路线——包覆、电子耦合、晶格氧稳定化、电子结构调控、自修复（p.2、p.23）。核心结论：AEM 稳定但受约 3.2 eV 标度关系限制，理论最低过电位约 370 mV；LOM 打破标度限制、活性更高，但晶格氧流失造成氧空位、加速金属溶解并可能使结构崩塌（p.4），"活性—稳定性"权衡贯穿全文。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补齐酸性 OER 全貌（最直接用途）。</w:t>
      </w:r>
      <w:r>
        <w:rPr>
          <w:rFonts w:ascii="Times New Roman" w:hAnsi="Times New Roman" w:eastAsia="宋体"/>
          <w:b w:val="0"/>
          <w:sz w:val="24"/>
        </w:rPr>
        <w:t xml:space="preserve"> 课题 65 需要一个权威机理框架来解释 MnO₂–IrO₂ 的活性来源。本文给出 AEM（</w:t>
      </w:r>
      <w:r>
        <w:rPr>
          <w:rFonts w:ascii="Times New Roman" w:hAnsi="Times New Roman" w:eastAsia="宋体"/>
          <w:b w:val="0"/>
          <w:i/>
          <w:sz w:val="24"/>
        </w:rPr>
        <w:t>OH、</w:t>
      </w:r>
      <w:r>
        <w:rPr>
          <w:rFonts w:ascii="Times New Roman" w:hAnsi="Times New Roman" w:eastAsia="宋体"/>
          <w:b w:val="0"/>
          <w:sz w:val="24"/>
        </w:rPr>
        <w:t>O、</w:t>
      </w:r>
      <w:r>
        <w:rPr>
          <w:rFonts w:ascii="Times New Roman" w:hAnsi="Times New Roman" w:eastAsia="宋体"/>
          <w:b w:val="0"/>
          <w:i/>
          <w:sz w:val="24"/>
        </w:rPr>
        <w:t xml:space="preserve">OOH 顺序脱质子，RDS 常为 </w:t>
      </w:r>
      <w:r>
        <w:rPr>
          <w:rFonts w:ascii="Times New Roman" w:hAnsi="Times New Roman" w:eastAsia="宋体"/>
          <w:b w:val="0"/>
          <w:sz w:val="24"/>
        </w:rPr>
        <w:t>OH 脱质子或 O–O 偶联，p.3）与 LOM（晶格氧直接成 O₂ 并留氧空位、空位由水回填修复，p.4）的完整判据，并指出二者常共存竞争、可随电压切换（p.4），提供了标准解释语言。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为"MnO₂ 负载型低铱"构型提供材料学支撑（R0+R2）。</w:t>
      </w:r>
      <w:r>
        <w:rPr>
          <w:rFonts w:ascii="Times New Roman" w:hAnsi="Times New Roman" w:eastAsia="宋体"/>
          <w:b w:val="0"/>
          <w:sz w:val="24"/>
        </w:rPr>
        <w:t xml:space="preserve"> 综述指出 Mn 基氧化物在酸性 OER 条件下具有"稳定电位窗口"：γ-MnO₂ 在 pH 2 下可于 10 mA cm⁻² 连续运行长达 8000 h，但活性不足（480 mV@10 mA cm⁻²，p.8）——正好构成"载体稳定、活性位不足"的分工前提：MnO₂ 作酸性稳定骨架/载体，IrO₂ 提供活性位，与课题低铱化目标一致。同时，氧化物载体可通过强金属-载体相互作用（SMSI）与电子耦合锚定 IrO₂ 纳米粒子、防止流失团聚（p.24-25），碳载体则因 OER 电势下腐蚀为 CO/CO₂ 而被否定（p.9），从反面印证选择氧化物载体（而非碳）的合理性。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直接同构先例：Ru/MnO₂ 自修复体系（p.29）。</w:t>
      </w:r>
      <w:r>
        <w:rPr>
          <w:rFonts w:ascii="Times New Roman" w:hAnsi="Times New Roman" w:eastAsia="宋体"/>
          <w:b w:val="0"/>
          <w:sz w:val="24"/>
        </w:rPr>
        <w:t xml:space="preserve"> 文中引用的 Ru 原子阵列/MnO₂ 纳米棒可在 100 mA cm⁻² 下运行 200 h：电解质中 Mn 持续溶出而 Ru 保持低水平并在 MnO₂ 表面再沉积（自修复）。该体系与课题形态同构，预示 IrO₂/MnO₂ 的 Mn 溶出不可避免，可能出现活性相重构或溶解—再沉积平衡，应作为可测可讨论的对象（R2）。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稳定化策略清单可直接转化为论文讨论框架。</w:t>
      </w:r>
      <w:r>
        <w:rPr>
          <w:rFonts w:ascii="Times New Roman" w:hAnsi="Times New Roman" w:eastAsia="宋体"/>
          <w:b w:val="0"/>
          <w:sz w:val="24"/>
        </w:rPr>
        <w:t xml:space="preserve"> 晶格氧稳定化（间隙碳/共掺杂抬高氧空位形成能）、电子结构调控（给电子组分抑制活性位过氧化）、包覆（薄 IrOₓ 壳即可大幅抑制溶解）等五条路线（p.23-29），为学生分析自己催化剂"为什么耐久"提供了现成论证模板。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（一）机理部分。</w:t>
      </w:r>
      <w:r>
        <w:rPr>
          <w:rFonts w:ascii="Times New Roman" w:hAnsi="Times New Roman" w:eastAsia="宋体"/>
          <w:b w:val="0"/>
          <w:sz w:val="24"/>
        </w:rPr>
        <w:t xml:space="preserve"> AEM 中 ΔG(OOH) = ΔG(OH) + 3.2 ± 0.2 eV 的标度关系使水氧化理论过电位下限约 370 mV，无法解释许多高活性催化剂（p.4）。LOM 步骤为 O + O_L → O₂ + V_O（或两相邻晶格氧直接偶联 2O_L → O₂ + 2V_O），空位再由 H₂O 回填并去质子修复（p.4）。LOM 的质子-电子转移不同步，故 pH 依赖明显；以 Ru₀.₉Ni₀.₁O₂₋σ 为例，低于 1.12 V（vs SCE）走 AEM，高于此电位晶格氧被氧化（p.4）。LOM 活性占优但代价是氧空位→金属溶解加速→结构崩塌、快速失活（p.4）。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（二）催化剂分类。</w:t>
      </w:r>
      <w:r>
        <w:rPr>
          <w:rFonts w:ascii="Times New Roman" w:hAnsi="Times New Roman" w:eastAsia="宋体"/>
          <w:b w:val="0"/>
          <w:sz w:val="24"/>
        </w:rPr>
        <w:t xml:space="preserve"> Ir 基：非晶 IrOₓ 活性高于结晶 IrO₂（p.6）；含水氧化铱中 Ir(III) 物种产生亲电氧，Mayrhofer 组证实其促进晶格氧析出、加速 Ir 溶出（p.6）；结晶度决定去质子化深度——结晶 IrO₂ 仅表面去质子化，低结晶度 IrOₓ 在近表面去质子化，借电子掺杂降能垒但加剧 Ir 溶解（p.6）；电化学原位氧化铱溶解性高于热氧化产物，溶解有"直接溶出为 Ir(III)"与"Ir(V)→Ir(III)"两路（p.6）；晶面决定表面产物：Ir(024) 高指数面生成亚稳 IrOₓ 活性高，(113) 密闭面生成稳定 IrO₂ 活性低（p.6）。Ru 基：活性仅次于 Os，价格约为 Ir 1/10（p.6），但易生成 RuO₄ 溶解失活（p.6）；RuO₂ 活性与不饱和配位 Ru（Ru_CUS）相关，而该位点恰最易溶出（p.7）；Os 法拉第效率仅约 5%（p.7）。贵金属总排序：活性 Os ≥ Ru &gt; Ir &gt; Rh &gt; Pt &gt; Au，稳定性 Pt &gt; Rh &gt; Ir &gt; Au ≥ Ru ≥ Os（p.7）。非贵金属：锰基氧化物窗口内可长跑（上述 γ-MnO₂），钴、铁氧化物分别以 570、650 mV@10 mA cm⁻² 活性尚可但寿命不足（p.7-8）；普遍"活性好则衰减快、稳定者活性低"（p.9）。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（三）活性增强七策略的代表性数据（节选）。</w:t>
      </w:r>
      <w:r>
        <w:rPr>
          <w:rFonts w:ascii="Times New Roman" w:hAnsi="Times New Roman" w:eastAsia="宋体"/>
          <w:b w:val="0"/>
          <w:sz w:val="24"/>
        </w:rPr>
        <w:t xml:space="preserve"> 组分工程：Cr₀.₆Ru₀.₄O₂ 固溶体 178 mV@10 mA cm⁻²、质量活性 229 A g⁻¹@270 mV（p.10）；SZIO 钙钛矿固溶体 1.53 V 达 75 mA cm⁻²、Ir 质量活性 1540 A g_Irr⁻¹（IrO₂ 仅 39，p.10-11）；烧绿石 Y₂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Ru₁.₆Y₀.₄]O₇₋δ 1.50 V 下 18.1 mA cm⁻²（p.12）。载体工程：Ir 单原子/NiCo₂O₄ 240 mV@10 mA cm⁻²、稳定 70 h，1.508 V 质量活性 28.89 A mg_Irr⁻¹（p.12）。形貌工程：纳米针 IrO₂ 313 mV（p.13）；二维 1T 相 IrO₂ 197 mV、1.5 V 质量活性约为金红石相 9.7 倍（p.14）；软模板介孔 IrO₂ 表面积 2.1 倍、100 mA cm⁻² 下电压低约 40 mV（p.14）；脱合金 dtf-Ir₂₅Os₇₅ 的 ECSA 约为 Ir 纳米颗粒 50 倍（p.15）。掺杂：Mn 掺杂中空 RuO₂ 158 mV（p.16）；20 wt% F 掺杂 IrO₂ 促进 Ir 5d–F 2p 杂化、降低 OOH 形成能（RDS）（p.16-17）；S 掺杂 M-SrIrO₃ 在 1.55 V 质量活性 41.5 A g_Irr⁻¹（未掺杂 12.3、IrO₂ 4.3，p.17）。缺陷工程：Ru 空位二维 RuO₂ 199 mV（商用 325 mV、退火 244 mV），质量活性为商用样 80.6 倍（p.17-18）；富氧空位 D-RuO₂/G 169 mV（p.19）；Zn 溶出造缺陷 UfD-RuO₂/CC 179 mV（p.19）。应变工程：PdCu/Ir 四单层 Ir 壳产生 3.60% 压应变→283 mV、1.83 A mg_Irr⁻¹（p.19）；IrCo@IrOₓ 最佳 1.51% 压应变 247 mV（p.20）；富晶界 Ta₀.₁Tm₀.₁Ir₀.₈O₂₋δ 在 1 A cm⁻² 仅需 1.766 V、TOF 达 2.54 O₂ s⁻¹@1.5 A cm⁻²（p.19-20）。阴离子调控：锰氧溴化物 Mn₇.₅O₁₀Br₃ 295±5 mV（MnO₂ 为 413±5 mV，p.21-22）——说明阴离子掺入可显著提升锰氧化物活性，与课题材料体系相关。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（四）稳定化策略（与课题最相关）。</w:t>
      </w:r>
      <w:r>
        <w:rPr>
          <w:rFonts w:ascii="Times New Roman" w:hAnsi="Times New Roman" w:eastAsia="宋体"/>
          <w:b w:val="0"/>
          <w:sz w:val="24"/>
        </w:rPr>
        <w:t xml:space="preserve"> 包覆：Ir 壳越厚稳定性越好（Pd 立方外包 Ir，p.23-24）；亚单层 IrOₓ 包 RuO₂ 时 1 Å 已能提稳、2 Å 即大幅抑制溶解（p.24）。电子耦合载体：ATO 锚定非晶 IrO₂ 显著改善酸性稳定性（p.24-25）；氮化 TiO₂（TiON）负载 Ir 优于炭黑（p.25）；碳包覆使 Co₃O₄ 在 100 mA cm⁻² 由 68.9 h 延至 86.8 h（p.26）。晶格氧稳定化：间隙碳使晶格氧解离能提高 0.8 eV（C–RuO₂–RuSe-10，212 mV，稳定 50 h，p.26）；W/Er 共掺杂 RuO₂ 把氧空位形成能由 0.67 抬至 2.29 eV，稳定 500 h（p.26-27）；尖晶石 Co₂MnO₄ 200 mA cm⁻² 运行 1600 h——Mn 位供电子能力强于 Co，晶格氧更稳定（p.27）。电子结构调控：石墨烯、Pt 等给电子组分抑制 Ru 过氧化（p.27-28）。自修复：NiPbFeOₓ 于 pH 2.5、1 mA cm⁻² 运行 25 h（p.29）；CoFePbOₓ 需在电解液补 Co²⁺/Fe³⁺/Pb²⁺ 维持平衡，但溶出离子会污染 PEM（p.29）。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（五）挑战与展望（p.29-31）。</w:t>
      </w:r>
      <w:r>
        <w:rPr>
          <w:rFonts w:ascii="Times New Roman" w:hAnsi="Times New Roman" w:eastAsia="宋体"/>
          <w:b w:val="0"/>
          <w:sz w:val="24"/>
        </w:rPr>
        <w:t xml:space="preserve"> 七项挑战：OER 高电位伴随载体氧化、电容、溶解等副反应，易致实验室活性高估；活性与稳定难兼得；三电极体系与工业高电流/高温工况脱节；多数研究测试电流过低；前催化剂会重构为真实活性相，而理论计算多基于预催化剂且只按 AEM 建模；呼吁更多原位表征与高电流测试。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活性—稳定性悖论在"载体-负载"结构中的传导（R2）</w:t>
      </w:r>
      <w:r>
        <w:rPr>
          <w:rFonts w:ascii="Times New Roman" w:hAnsi="Times New Roman" w:eastAsia="宋体"/>
          <w:b w:val="0"/>
          <w:sz w:val="24"/>
        </w:rPr>
        <w:t>：LOM 类高活性位（空位、配位不饱和、亚稳相）往往正是溶解起点（p.4、p.7 R0），若 MnO₂ 载体的氧空位或 IrO₂ 缺陷同时充当活性位与腐蚀位，耐久性设计与活性设计会相互冲突。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载体的酸性耐受需实测（R0+R2）</w:t>
      </w:r>
      <w:r>
        <w:rPr>
          <w:rFonts w:ascii="Times New Roman" w:hAnsi="Times New Roman" w:eastAsia="宋体"/>
          <w:b w:val="0"/>
          <w:sz w:val="24"/>
        </w:rPr>
        <w:t>：γ-MnO₂ 的 8000 h 记录在 pH 2 取得（p.8），而 PEM 阳极膜内实际 pH 更低（约 pH 0-2 量级），MnO₂ 的溶出窗口、晶型（α/β/γ/δ）与负载 Ir 后的界面稳定性必须在与 PEM 相近的酸性条件下重新验证。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载体电导与活性位归属问题（R2）</w:t>
      </w:r>
      <w:r>
        <w:rPr>
          <w:rFonts w:ascii="Times New Roman" w:hAnsi="Times New Roman" w:eastAsia="宋体"/>
          <w:b w:val="0"/>
          <w:sz w:val="24"/>
        </w:rPr>
        <w:t>：低铱含量下催化层需保证电子渗流；MnO₂ 半导体性载体的导电贡献、Mn 位自身微弱 OER 活性与 Ir 位活性的解耦归属，需要负载量梯度实验加归一化表征。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溶解的动力学与机理表征门槛高（R0）</w:t>
      </w:r>
      <w:r>
        <w:rPr>
          <w:rFonts w:ascii="Times New Roman" w:hAnsi="Times New Roman" w:eastAsia="宋体"/>
          <w:b w:val="0"/>
          <w:sz w:val="24"/>
        </w:rPr>
        <w:t>：区分 AEM/LOM、监测 Ir/Mn 溶出需要 ¹⁸O 同位素标记、DEMS、在线 ICP-MS 等手段（p.4、p.6），本科毕设设备受限时只能靠间接判据（pH 依赖、Tafel、稳定性曲线、电解液离子检测）。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测试条件与真实工况的鸿沟（R0）</w:t>
      </w:r>
      <w:r>
        <w:rPr>
          <w:rFonts w:ascii="Times New Roman" w:hAnsi="Times New Roman" w:eastAsia="宋体"/>
          <w:b w:val="0"/>
          <w:sz w:val="24"/>
        </w:rPr>
        <w:t>：综述呼吁提高测试电流并警惕副反应造成的活性高估（p.29-30），学生须设计从 10 mA cm⁻² 到数百 mA cm⁻² 的阶梯稳定性测试。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性能报告规范</w:t>
      </w:r>
      <w:r>
        <w:rPr>
          <w:rFonts w:ascii="Times New Roman" w:hAnsi="Times New Roman" w:eastAsia="宋体"/>
          <w:b w:val="0"/>
          <w:sz w:val="24"/>
        </w:rPr>
        <w:t>：采用"过电位@10 mA cm⁻² + 稳定运行时长 + 贵金属质量活性（A mg⁻¹ 或 A g⁻¹）"三件套，并与综述图 3 的 η₁₀-寿命全景图对照定位（p.4-5）。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稳定化策略作为讨论框架</w:t>
      </w:r>
      <w:r>
        <w:rPr>
          <w:rFonts w:ascii="Times New Roman" w:hAnsi="Times New Roman" w:eastAsia="宋体"/>
          <w:b w:val="0"/>
          <w:sz w:val="24"/>
        </w:rPr>
        <w:t>：把 MnO₂ 载体的电子耦合/锚定作用与 IrO₂ 的晶格氧稳定性/溶解抑制写成机理段落，引 Co₂MnO₄ 说明 Mn-O 键电子结构的意义（p.27）。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实验方法迁移</w:t>
      </w:r>
      <w:r>
        <w:rPr>
          <w:rFonts w:ascii="Times New Roman" w:hAnsi="Times New Roman" w:eastAsia="宋体"/>
          <w:b w:val="0"/>
          <w:sz w:val="24"/>
        </w:rPr>
        <w:t>：借鉴自修复体系中"电解液元素监测（Mn 溶出、Ir 溶出）"的做法（p.29），把 ICP-MS/AAS 溶解数据作为耐久性的硬证据。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载体选择论证素材</w:t>
      </w:r>
      <w:r>
        <w:rPr>
          <w:rFonts w:ascii="Times New Roman" w:hAnsi="Times New Roman" w:eastAsia="宋体"/>
          <w:b w:val="0"/>
          <w:sz w:val="24"/>
        </w:rPr>
        <w:t>：用"碳载体在 OER 电势下腐蚀（p.9）"和"氧化物载体 SMSI 稳定（p.24-25）"两段原文支撑不用碳、用 MnO₂ 的设计决策。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可引用定量论据</w:t>
      </w:r>
      <w:r>
        <w:rPr>
          <w:rFonts w:ascii="Times New Roman" w:hAnsi="Times New Roman" w:eastAsia="宋体"/>
          <w:b w:val="0"/>
          <w:sz w:val="24"/>
        </w:rPr>
        <w:t>：Ru 价约为 Ir 1/10（p.6）、贵金属活性/稳定排序（p.7）、Ir 为唯一酸性长期稳定基准（p.2），可直接用于立项依据。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MnO₂–IrO₂ 界面电子转移方向可作为设计自由度（R2）</w:t>
      </w:r>
      <w:r>
        <w:rPr>
          <w:rFonts w:ascii="Times New Roman" w:hAnsi="Times New Roman" w:eastAsia="宋体"/>
          <w:b w:val="0"/>
          <w:sz w:val="24"/>
        </w:rPr>
        <w:t>。"给电子组分保护 Ru/Ir 免于过氧化"的案例（p.27-28）提示：MnO₂ 的 Mn(III)/Mn(IV) 可调，若富缺陷/低价载体向 Ir 供电，或可抑制 Ir 在 OER 高电位下的过氧化溶解——可用 XPS/XAS 监测 Ir 氧化态随电位变化检验。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机理切换假说（R2）</w:t>
      </w:r>
      <w:r>
        <w:rPr>
          <w:rFonts w:ascii="Times New Roman" w:hAnsi="Times New Roman" w:eastAsia="宋体"/>
          <w:b w:val="0"/>
          <w:sz w:val="24"/>
        </w:rPr>
        <w:t>：低负载 IrO₂ 若以非晶/高缺陷态存在，LOM 贡献增大（活性高但溶出快）；若 MnO₂ 载体通过界面键合"钉扎"晶格氧，可能将反应拉回更稳定的 AEM。¹⁸O 标记实验是判别途径，也直接关系论文的机理论证质量。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"载体假活性"在本课题反而是优点（R2）</w:t>
      </w:r>
      <w:r>
        <w:rPr>
          <w:rFonts w:ascii="Times New Roman" w:hAnsi="Times New Roman" w:eastAsia="宋体"/>
          <w:b w:val="0"/>
          <w:sz w:val="24"/>
        </w:rPr>
        <w:t>：MnO₂ 在酸性窗口活性平庸（480 mV，p.8），远低于 IrO₂ 预期贡献，便于把电流归因于 Ir 位；这比用 Co₃O₄、NiO 等自身活性强的载体做低铱体系更利于数据解读。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微波法的"非平衡"叙事（R2）</w:t>
      </w:r>
      <w:r>
        <w:rPr>
          <w:rFonts w:ascii="Times New Roman" w:hAnsi="Times New Roman" w:eastAsia="宋体"/>
          <w:b w:val="0"/>
          <w:sz w:val="24"/>
        </w:rPr>
        <w:t>：文中 1T 相（p.14）、熔盐二维（p.17-18）、快速热解富晶界（p.19-20）等案例均靠非平衡/快速加热产生亚稳高活性结构；微波多元醇法快速均匀加热的本质与之相通，可作为"为什么用微波"的论证，但须补充缺陷/应变/晶界等结构证据而非只讲形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串联后两篇（R2）</w:t>
      </w:r>
      <w:r>
        <w:rPr>
          <w:rFonts w:ascii="Times New Roman" w:hAnsi="Times New Roman" w:eastAsia="宋体"/>
          <w:b w:val="0"/>
          <w:sz w:val="24"/>
        </w:rPr>
        <w:t>：Ir 供应约束（第二篇）给出低铱的必要性量化指标；溶解机理与测试方法（第三篇）给出低载荷寿命的真实边界；本篇则提供材料设计全集——三篇合起来正好覆盖课题 65"必要性（Why low-Ir）—设计（How）—验证（How to test durability）"的完整逻辑链。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