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文献精读报告：A meta-analysis of catalytic literature data reveals property–performance correlations for the OCM reaction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编制日期：2026年09月09日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元信息</w:t>
      </w:r>
      <w:r>
        <w:rPr>
          <w:rFonts w:ascii="Times New Roman" w:hAnsi="Times New Roman" w:eastAsia="宋体"/>
          <w:b w:val="0"/>
          <w:sz w:val="24"/>
        </w:rPr>
        <w:t>：Schmack R, Friedrich A, Kondratenko EV, Polte J, Werwatz A &amp; Kraehnert R（通讯，TU Berlin 化学所／LIKAT Rostock／HU Berlin；第二作者单位为经济系计量组）；</w:t>
      </w:r>
      <w:r>
        <w:rPr>
          <w:rFonts w:ascii="Times New Roman" w:hAnsi="Times New Roman" w:eastAsia="宋体"/>
          <w:b w:val="0"/>
          <w:i/>
          <w:sz w:val="24"/>
        </w:rPr>
        <w:t>Nature Communications</w:t>
      </w:r>
      <w:r>
        <w:rPr>
          <w:rFonts w:ascii="Times New Roman" w:hAnsi="Times New Roman" w:eastAsia="宋体"/>
          <w:b w:val="0"/>
          <w:sz w:val="24"/>
        </w:rPr>
        <w:t xml:space="preserve"> </w:t>
      </w:r>
      <w:r>
        <w:rPr>
          <w:rFonts w:ascii="Times New Roman" w:hAnsi="Times New Roman" w:eastAsia="宋体"/>
          <w:b/>
          <w:sz w:val="24"/>
        </w:rPr>
        <w:t>10</w:t>
      </w:r>
      <w:r>
        <w:rPr>
          <w:rFonts w:ascii="Times New Roman" w:hAnsi="Times New Roman" w:eastAsia="宋体"/>
          <w:b w:val="0"/>
          <w:sz w:val="24"/>
        </w:rPr>
        <w:t>, 441 (2019)，开放获取 CC-BY 4.0；DOI 10.1038/s41467-019-08325-8｜精读日期 2026-09-02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证据分级：R0=原文事实（附页码锚点）｜R1=外部背景｜R2=推断</w:t>
      </w:r>
    </w:p>
    <w:p/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 xml:space="preserve">⚠️ </w:t>
      </w:r>
      <w:r>
        <w:rPr>
          <w:rFonts w:ascii="Times New Roman" w:hAnsi="Times New Roman" w:eastAsia="宋体"/>
          <w:b/>
          <w:sz w:val="24"/>
        </w:rPr>
        <w:t>卷宗订正（R0）</w:t>
      </w:r>
      <w:r>
        <w:rPr>
          <w:rFonts w:ascii="Times New Roman" w:hAnsi="Times New Roman" w:eastAsia="宋体"/>
          <w:b w:val="0"/>
          <w:sz w:val="24"/>
        </w:rPr>
        <w:t>：本 PDF 实际研究对象是</w:t>
      </w:r>
      <w:r>
        <w:rPr>
          <w:rFonts w:ascii="Times New Roman" w:hAnsi="Times New Roman" w:eastAsia="宋体"/>
          <w:b/>
          <w:sz w:val="24"/>
        </w:rPr>
        <w:t>甲烷氧化偶联（OCM, oxidative coupling of methane）</w:t>
      </w:r>
      <w:r>
        <w:rPr>
          <w:rFonts w:ascii="Times New Roman" w:hAnsi="Times New Roman" w:eastAsia="宋体"/>
          <w:b w:val="0"/>
          <w:sz w:val="24"/>
        </w:rPr>
        <w:t xml:space="preserve">，非 OER——完整标题以 "…for the OCM reaction" 结尾（p.1），文章编号为 </w:t>
      </w:r>
      <w:r>
        <w:rPr>
          <w:rFonts w:ascii="Times New Roman" w:hAnsi="Times New Roman" w:eastAsia="宋体"/>
          <w:b/>
          <w:sz w:val="24"/>
        </w:rPr>
        <w:t>10:441</w:t>
      </w:r>
      <w:r>
        <w:rPr>
          <w:rFonts w:ascii="Times New Roman" w:hAnsi="Times New Roman" w:eastAsia="宋体"/>
          <w:b w:val="0"/>
          <w:sz w:val="24"/>
        </w:rPr>
        <w:t>（p.1 页脚），任务单所写"10, 1493"有误。全文仅一处涉 OER：把 McCrory 等（JACS, 2013）的 OER 基准评测引作"标准化测试"范例（p.8, ref 66）。故本文与课题 65 的关联在</w:t>
      </w:r>
      <w:r>
        <w:rPr>
          <w:rFonts w:ascii="Times New Roman" w:hAnsi="Times New Roman" w:eastAsia="宋体"/>
          <w:b/>
          <w:sz w:val="24"/>
        </w:rPr>
        <w:t>方法论层面</w:t>
      </w:r>
      <w:r>
        <w:rPr>
          <w:rFonts w:ascii="Times New Roman" w:hAnsi="Times New Roman" w:eastAsia="宋体"/>
          <w:b w:val="0"/>
          <w:sz w:val="24"/>
        </w:rPr>
        <w:t>（§二、§五）；§三 原文结论按 OCM 如实转述。</w:t>
      </w: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文献速览总结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催化文献体量庞大，但数据零散、结构未定义，阻碍知识挖掘；此前 WGS、CO 氧化、生物柴油酯交换、醇燃料电池等少量 meta 分析要么样本小（≤85 篇）、要么纯统计探索、要么未纳入化学知识（p.2）。OCM 里程碑式数据库由 Zavyalova 等 2011 年建成（421 篇文献、1866 种组成），但用 ANOVA、Pearson/Spearman 相关、回归树仅得出"若干元素组合有利于 C2"，未获普适模型（p.2）——因为</w:t>
      </w:r>
      <w:r>
        <w:rPr>
          <w:rFonts w:ascii="Times New Roman" w:hAnsi="Times New Roman" w:eastAsia="宋体"/>
          <w:b/>
          <w:sz w:val="24"/>
        </w:rPr>
        <w:t>相同名义组成的材料可呈现不同结构/表面终止</w:t>
      </w:r>
      <w:r>
        <w:rPr>
          <w:rFonts w:ascii="Times New Roman" w:hAnsi="Times New Roman" w:eastAsia="宋体"/>
          <w:b w:val="0"/>
          <w:sz w:val="24"/>
        </w:rPr>
        <w:t>，故"描述符不能止于元素组成"（p.2）。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本文提出一种把三类知识——(i) 文献实验数据、(ii) 教科书物性表、(iii) 化学家直觉假说——结合的</w:t>
      </w:r>
      <w:r>
        <w:rPr>
          <w:rFonts w:ascii="Times New Roman" w:hAnsi="Times New Roman" w:eastAsia="宋体"/>
          <w:b/>
          <w:sz w:val="24"/>
        </w:rPr>
        <w:t>可迭代元分析流程</w:t>
      </w:r>
      <w:r>
        <w:rPr>
          <w:rFonts w:ascii="Times New Roman" w:hAnsi="Times New Roman" w:eastAsia="宋体"/>
          <w:b w:val="0"/>
          <w:sz w:val="24"/>
        </w:rPr>
        <w:t>（Fig.1, p.2–3）：假说→按温度/压力依赖规则计算物化描述符→排序规则划分"性质组"→各组性能分布+多元回归校正测试条件→t 检验判显著性→对照文献证据并迭代细化。在 OCM 演示：校正后数据集 1802×37（p.3），4 条假说切出 18 个性质组（10 个末端组），最佳组 4d 校正 C2 产率 11.8%（p.6）。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最终结论（R0）</w:t>
      </w:r>
      <w:r>
        <w:rPr>
          <w:rFonts w:ascii="Times New Roman" w:hAnsi="Times New Roman" w:eastAsia="宋体"/>
          <w:b w:val="0"/>
          <w:sz w:val="24"/>
        </w:rPr>
        <w:t>：好 OCM 催化剂须在反应条件下同时具备</w:t>
      </w:r>
      <w:r>
        <w:rPr>
          <w:rFonts w:ascii="Times New Roman" w:hAnsi="Times New Roman" w:eastAsia="宋体"/>
          <w:b/>
          <w:sz w:val="24"/>
        </w:rPr>
        <w:t>两种独立功能——热力学稳定的碳酸盐与热稳定（抗烧结）的氧化物载体</w:t>
      </w:r>
      <w:r>
        <w:rPr>
          <w:rFonts w:ascii="Times New Roman" w:hAnsi="Times New Roman" w:eastAsia="宋体"/>
          <w:b w:val="0"/>
          <w:sz w:val="24"/>
        </w:rPr>
        <w:t>（p.1、p.7）。该角色获 CO2 共进料实验支持：九个负载型催化剂加 CO2 后产率不变或提高（最高 +2.5%），裸 Al2O3 无响应（p.7, Fig.5）。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课题关联分析（与课题 65 的直接关联）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本文不含任何 OER/电化学数据（R0），对课题 65（微波乙二醇法 MnO₂–IrO₂ 低铱 PEM 阳极）的价值是</w:t>
      </w:r>
      <w:r>
        <w:rPr>
          <w:rFonts w:ascii="Times New Roman" w:hAnsi="Times New Roman" w:eastAsia="宋体"/>
          <w:b/>
          <w:sz w:val="24"/>
        </w:rPr>
        <w:t>评价方法论与数据思维模板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条件混杂必须统计校正（性能评价方法）</w:t>
      </w:r>
      <w:r>
        <w:rPr>
          <w:rFonts w:ascii="Times New Roman" w:hAnsi="Times New Roman" w:eastAsia="宋体"/>
          <w:b w:val="0"/>
          <w:sz w:val="24"/>
        </w:rPr>
        <w:t>：OCM 各文献产率受 T、pCH4/pO2 等动力学因素强烈干扰，作者先用回归剥离条件效应、再比较"性质组"差异（p.2、p.8）。OER 跨文献可比性同样被电解液、负载量、iR 补偿、扫速、温度污染——写绪论比较他人过电位必须先校条件；本文还点名 McCrory 的 OER 基准协议为标准化范例（ref 66，R1）。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"名义组成≠活性"→需要物化描述符（OER 活性描述符思路）</w:t>
      </w:r>
      <w:r>
        <w:rPr>
          <w:rFonts w:ascii="Times New Roman" w:hAnsi="Times New Roman" w:eastAsia="宋体"/>
          <w:b w:val="0"/>
          <w:sz w:val="24"/>
        </w:rPr>
        <w:t>：作者论证纯元素组成无法预测性能（p.2）。对 MnO₂–IrO₂，真描述符应是粒径、晶型、Ir 氧化态（XPS）、载体稳定性而非 Ir wt%；这是把 XPS/TEM 数据"升级为描述符"的理论依据（R2）。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"载体+活性相"双功能假说模板</w:t>
      </w:r>
      <w:r>
        <w:rPr>
          <w:rFonts w:ascii="Times New Roman" w:hAnsi="Times New Roman" w:eastAsia="宋体"/>
          <w:b w:val="0"/>
          <w:sz w:val="24"/>
        </w:rPr>
        <w:t>：OCM 用最小双功能拆解出可检验模型（p.7）。可类比设计 MnO₂=导电/分散/稳定性功能、IrO₂=活性功能的分立式假说，用对照样品验证协同（R2）。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数据驱动思路</w:t>
      </w:r>
      <w:r>
        <w:rPr>
          <w:rFonts w:ascii="Times New Roman" w:hAnsi="Times New Roman" w:eastAsia="宋体"/>
          <w:b w:val="0"/>
          <w:sz w:val="24"/>
        </w:rPr>
        <w:t>：其"扩充数据集+条件感知描述符+分组显著性检验"为毕设后期自建"文献 Ir 基 OER 小数据库"或自产数据回归提供了可直接照搬的脚本级框架（R2）。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内容深度解读（元分析方法、关键结论）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方法 9 步</w:t>
      </w:r>
      <w:r>
        <w:rPr>
          <w:rFonts w:ascii="Times New Roman" w:hAnsi="Times New Roman" w:eastAsia="宋体"/>
          <w:b w:val="0"/>
          <w:sz w:val="24"/>
        </w:rPr>
        <w:t>（p.2–3，R0）：① 文献整理为数据集；② 用物性表（熔点、Tammann 温度=0.6×熔点、碳酸盐分解温度等）定义描述符规则——描述符</w:t>
      </w:r>
      <w:r>
        <w:rPr>
          <w:rFonts w:ascii="Times New Roman" w:hAnsi="Times New Roman" w:eastAsia="宋体"/>
          <w:b/>
          <w:sz w:val="24"/>
        </w:rPr>
        <w:t>逐催化剂按其实际测试温度计算</w:t>
      </w:r>
      <w:r>
        <w:rPr>
          <w:rFonts w:ascii="Times New Roman" w:hAnsi="Times New Roman" w:eastAsia="宋体"/>
          <w:b w:val="0"/>
          <w:sz w:val="24"/>
        </w:rPr>
        <w:t>，故同一催化剂在不同测试条件下描述符值可不同（p.8）；③ 扩充数据集；④⑤ 排序规则把催化剂划入互斥"性质组"；⑥ 各组性能核密度分布与均值±标准差；⑦ 多元回归校正条件：Yᵢ=β₀+β_group·D+β_T·ΔT+β_CH4/O2·Δp_CH4/O2+U，</w:t>
      </w:r>
      <w:r>
        <w:rPr>
          <w:rFonts w:ascii="Times New Roman" w:hAnsi="Times New Roman" w:eastAsia="宋体"/>
          <w:b/>
          <w:sz w:val="24"/>
        </w:rPr>
        <w:t>β_group 即组效应量</w:t>
      </w:r>
      <w:r>
        <w:rPr>
          <w:rFonts w:ascii="Times New Roman" w:hAnsi="Times New Roman" w:eastAsia="宋体"/>
          <w:b w:val="0"/>
          <w:sz w:val="24"/>
        </w:rPr>
        <w:t>（p.8–9）；⑧ 逐 β 做 t 检验（p&lt;0.05 为显著）；⑨ 对照文献证据、迭代假说与数据。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四条假说与量化结论</w:t>
      </w:r>
      <w:r>
        <w:rPr>
          <w:rFonts w:ascii="Times New Roman" w:hAnsi="Times New Roman" w:eastAsia="宋体"/>
          <w:b w:val="0"/>
          <w:sz w:val="24"/>
        </w:rPr>
        <w:t>（p.5–6，R0）：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H1 可形成碳酸盐</w:t>
      </w:r>
      <w:r>
        <w:rPr>
          <w:rFonts w:ascii="Times New Roman" w:hAnsi="Times New Roman" w:eastAsia="宋体"/>
          <w:b w:val="0"/>
          <w:sz w:val="24"/>
        </w:rPr>
        <w:t>：1b 组（n=1764）平均产率 9.7±6.6% vs 1a 组（n=38，多为 Si/Al/W/Ti 等）2.1±2.0%；β_group=</w:t>
      </w:r>
      <w:r>
        <w:rPr>
          <w:rFonts w:ascii="Times New Roman" w:hAnsi="Times New Roman" w:eastAsia="宋体"/>
          <w:b/>
          <w:sz w:val="24"/>
        </w:rPr>
        <w:t>+7.51</w:t>
      </w:r>
      <w:r>
        <w:rPr>
          <w:rFonts w:ascii="Times New Roman" w:hAnsi="Times New Roman" w:eastAsia="宋体"/>
          <w:b w:val="0"/>
          <w:sz w:val="24"/>
        </w:rPr>
        <w:t>，p&lt;0.0005——把不活泼体系客观剔除。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H2 存在热稳定氧化物载体</w:t>
      </w:r>
      <w:r>
        <w:rPr>
          <w:rFonts w:ascii="Times New Roman" w:hAnsi="Times New Roman" w:eastAsia="宋体"/>
          <w:b w:val="0"/>
          <w:sz w:val="24"/>
        </w:rPr>
        <w:t>：判据：某氧化物 Tammann 温度&gt;实测温度、折最稳定氧化物计≥50 wt%，且另有第二阳离子可成碳酸盐。2b"负载型"（n=1257, 10.7%）优于 2a"无载体"（7.7%）与 2c"自负载"（6.5%）。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H3 载体氧化物本身能否成碳酸盐</w:t>
      </w:r>
      <w:r>
        <w:rPr>
          <w:rFonts w:ascii="Times New Roman" w:hAnsi="Times New Roman" w:eastAsia="宋体"/>
          <w:b w:val="0"/>
          <w:sz w:val="24"/>
        </w:rPr>
        <w:t>：3a"碳酸盐负载"（n=935, 11.5%）胜过 3b"氧化物负载"（Al₂O₃/SiO₂/TiO₂ 系, n=322, 8.6%），β=</w:t>
      </w:r>
      <w:r>
        <w:rPr>
          <w:rFonts w:ascii="Times New Roman" w:hAnsi="Times New Roman" w:eastAsia="宋体"/>
          <w:b/>
          <w:sz w:val="24"/>
        </w:rPr>
        <w:t>−3.30</w:t>
      </w:r>
      <w:r>
        <w:rPr>
          <w:rFonts w:ascii="Times New Roman" w:hAnsi="Times New Roman" w:eastAsia="宋体"/>
          <w:b w:val="0"/>
          <w:sz w:val="24"/>
        </w:rPr>
        <w:t>，p=0.000。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H4 碳酸盐热力学稳定</w:t>
      </w:r>
      <w:r>
        <w:rPr>
          <w:rFonts w:ascii="Times New Roman" w:hAnsi="Times New Roman" w:eastAsia="宋体"/>
          <w:b w:val="0"/>
          <w:sz w:val="24"/>
        </w:rPr>
        <w:t>（T_OCM &lt; T_分解+100 K 修正）：三组配对比较 Δ产率 +2.04/+2.36/+5.11%，p≤0.026；最佳组 4d 校正产率 11.8%。两主流体系 Li/MgO 与 Mn–Na₂WO₄/SiO₂ 经不同路径殊途同归，均落"含稳定碳酸盐"组——跨组一致结果支持效应普适性。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机理解释（作者观点，R0）</w:t>
      </w:r>
      <w:r>
        <w:rPr>
          <w:rFonts w:ascii="Times New Roman" w:hAnsi="Times New Roman" w:eastAsia="宋体"/>
          <w:b w:val="0"/>
          <w:sz w:val="24"/>
        </w:rPr>
        <w:t>：碳酸盐↔氧化物转变不断产生缺陷位；碳酸盐稳定过氧物种（O₂²⁻），选择性活化 CH₄ 生成甲基自由基；载体碳酸盐化抑制 C2 产物的非选择性燃烧；CO₂ 因而从"副产物"被重新定位为稳定碳酸盐相所"必需"，或可借 CO₂ 共进料突破约 30% 的 C2 产率上限（p.6–7）。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稳健性与局限（R0）</w:t>
      </w:r>
      <w:r>
        <w:rPr>
          <w:rFonts w:ascii="Times New Roman" w:hAnsi="Times New Roman" w:eastAsia="宋体"/>
          <w:b w:val="0"/>
          <w:sz w:val="24"/>
        </w:rPr>
        <w:t>：阈值扫描（载体 wt%×4、Tammann 因子×3、碳酸盐偏移×4）、以 ln(YC2) 为因变量、稳健回归、频数加权回归，主结论均保持（p.6、p.9）；但组内分布仍宽，归因于测试条件多样与</w:t>
      </w:r>
      <w:r>
        <w:rPr>
          <w:rFonts w:ascii="Times New Roman" w:hAnsi="Times New Roman" w:eastAsia="宋体"/>
          <w:b/>
          <w:sz w:val="24"/>
        </w:rPr>
        <w:t>合成程序细节（对结构-性能影响大）</w:t>
      </w:r>
      <w:r>
        <w:rPr>
          <w:rFonts w:ascii="Times New Roman" w:hAnsi="Times New Roman" w:eastAsia="宋体"/>
          <w:b w:val="0"/>
          <w:sz w:val="24"/>
        </w:rPr>
        <w:t>（p.7）——与课题 65"微波参数敏感性"直接共鸣。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技术难点识别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数据异质性</w:t>
      </w:r>
      <w:r>
        <w:rPr>
          <w:rFonts w:ascii="Times New Roman" w:hAnsi="Times New Roman" w:eastAsia="宋体"/>
          <w:b w:val="0"/>
          <w:sz w:val="24"/>
        </w:rPr>
        <w:t>：无统一测试协议，Fig.2 中 T、pCH4/pO2、接触时间覆盖极宽且弥散（p.3）——不校条件即比较是无效的。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温度感知描述符</w:t>
      </w:r>
      <w:r>
        <w:rPr>
          <w:rFonts w:ascii="Times New Roman" w:hAnsi="Times New Roman" w:eastAsia="宋体"/>
          <w:b w:val="0"/>
          <w:sz w:val="24"/>
        </w:rPr>
        <w:t>：物性必须按每个催化剂的实际测试条件计算，规则稍差（如 +100 K 偏移）就改变分组（p.6 稳健性）。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名义组成与真实结构脱节</w:t>
      </w:r>
      <w:r>
        <w:rPr>
          <w:rFonts w:ascii="Times New Roman" w:hAnsi="Times New Roman" w:eastAsia="宋体"/>
          <w:b w:val="0"/>
          <w:sz w:val="24"/>
        </w:rPr>
        <w:t>：同组成不同合成可得不同相/表面，纯数据统计抓不住（p.2）；发表偏倚与小组（n=38）统计功效是固有限制（p.6）。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相关≠因果</w:t>
      </w:r>
      <w:r>
        <w:rPr>
          <w:rFonts w:ascii="Times New Roman" w:hAnsi="Times New Roman" w:eastAsia="宋体"/>
          <w:b w:val="0"/>
          <w:sz w:val="24"/>
        </w:rPr>
        <w:t>：作者特意补做 CO2 共进料实验把模型预测闭环验证（p.7）——统计模型不经实验验证不算结论。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迁移至 OER 的额外鸿沟</w:t>
      </w:r>
      <w:r>
        <w:rPr>
          <w:rFonts w:ascii="Times New Roman" w:hAnsi="Times New Roman" w:eastAsia="宋体"/>
          <w:b w:val="0"/>
          <w:sz w:val="24"/>
        </w:rPr>
        <w:t>：OER 缺同量级开放数据库，且需活性+稳定性双指标，存在三电极 vs MEA 体系鸿沟（R2）。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5. 可借鉴点（对毕设实验设计与数据解读的直接用途）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单变量-全集记录</w:t>
      </w:r>
      <w:r>
        <w:rPr>
          <w:rFonts w:ascii="Times New Roman" w:hAnsi="Times New Roman" w:eastAsia="宋体"/>
          <w:b w:val="0"/>
          <w:sz w:val="24"/>
        </w:rPr>
        <w:t>：前驱体浓度、IrO₂ 负载量、温度/时间/微波功率逐项单变量扫描，并为每批样品同步记录"合成条件–结构（XRD 晶型/晶粒、TEM 粒径、XPS Ir4f 价态、ICP 实测 Ir 载量）–性能（LSV 过电位@10 mA·cm⁻²、Tafel、EIS Rct、耐久）"，建成可回归的小型自有数据库。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评测规范化</w:t>
      </w:r>
      <w:r>
        <w:rPr>
          <w:rFonts w:ascii="Times New Roman" w:hAnsi="Times New Roman" w:eastAsia="宋体"/>
          <w:b w:val="0"/>
          <w:sz w:val="24"/>
        </w:rPr>
        <w:t>（呼应 ref 66 的 OER 基准呼吁）：固定电解质（浓度/纯度/温度）、载量、iR 补偿方式、扫速；过电位分别按几何面积与 ECSA 归一报告；耐久协议固定（计时/循环圈数），确保自产数据可比。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双功能拆分式验证</w:t>
      </w:r>
      <w:r>
        <w:rPr>
          <w:rFonts w:ascii="Times New Roman" w:hAnsi="Times New Roman" w:eastAsia="宋体"/>
          <w:b w:val="0"/>
          <w:sz w:val="24"/>
        </w:rPr>
        <w:t>：设对照组——纯 MnO₂、纯 IrO₂、物理混合与微波异质结构同测，用"功能拆分+差异显著性"判断 MnO₂ 属惰性载体还是协同相（导电/稳定/电子调控），勿以"负载越高越好"代替机理判断（R2）。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低铱判据定量化</w:t>
      </w:r>
      <w:r>
        <w:rPr>
          <w:rFonts w:ascii="Times New Roman" w:hAnsi="Times New Roman" w:eastAsia="宋体"/>
          <w:b w:val="0"/>
          <w:sz w:val="24"/>
        </w:rPr>
        <w:t>：把"低铱高活性"转成可检验假说"质量活性（A·g⁻¹_Ir）随负载优化而非单调"，用比活性曲线定位最佳 Ir 用量——即本文"把化学假说翻译为可测指标"的做法。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跨文献比较纪律</w:t>
      </w:r>
      <w:r>
        <w:rPr>
          <w:rFonts w:ascii="Times New Roman" w:hAnsi="Times New Roman" w:eastAsia="宋体"/>
          <w:b w:val="0"/>
          <w:sz w:val="24"/>
        </w:rPr>
        <w:t>：写绪论引他人 OER 数据时先对齐条件，否则只作定性参照；可仿本文用"性质组"思路按 Ir 基/非 Ir、晶态/非晶、载体类型分桶比较。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6. 延伸思考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OER 元分析的前景</w:t>
      </w:r>
      <w:r>
        <w:rPr>
          <w:rFonts w:ascii="Times New Roman" w:hAnsi="Times New Roman" w:eastAsia="宋体"/>
          <w:b w:val="0"/>
          <w:sz w:val="24"/>
        </w:rPr>
        <w:t>：本文自陈统计只能处理可量化变量、结构细节尚未纳入（p.7–8）。未来中酸性 Ir/Ru OER 若建立开放统一数据库，"教科书知识"可用 Pourbaix 溶解热力学与 DFT 描述符（如 d 带中心、吸附能标度关系，p.8 已前瞻）替代碳酸盐物性表——方法论可直接平移，但化学假说须重写（R2）。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作者示范了"模型预测→定向实验→闭环"范式</w:t>
      </w:r>
      <w:r>
        <w:rPr>
          <w:rFonts w:ascii="Times New Roman" w:hAnsi="Times New Roman" w:eastAsia="宋体"/>
          <w:b w:val="0"/>
          <w:sz w:val="24"/>
        </w:rPr>
        <w:t>（CO2 共进料）；毕设若发现"MnO₂ 提升耐久"相关，应设计 Ir 溶出（ICP-MS）/结构衰退实验证因果。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气相热催化→PEM 电催化的维度差</w:t>
      </w:r>
      <w:r>
        <w:rPr>
          <w:rFonts w:ascii="Times New Roman" w:hAnsi="Times New Roman" w:eastAsia="宋体"/>
          <w:b w:val="0"/>
          <w:sz w:val="24"/>
        </w:rPr>
        <w:t>：OCM 只有 T、分压两个条件轴；PEM 阳极叠加电压+强酸+氧三场与 MEA 界面，性质–性能关联最终须在膜电极层面复核，三电极结论不自动外推（R2）。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低铱下限的物理本质</w:t>
      </w:r>
      <w:r>
        <w:rPr>
          <w:rFonts w:ascii="Times New Roman" w:hAnsi="Times New Roman" w:eastAsia="宋体"/>
          <w:b w:val="0"/>
          <w:sz w:val="24"/>
        </w:rPr>
        <w:t>：呼应"活性相+稳定相"观——IrO₂ 可降下限由载体能否长期维持分散与导电决定，可用 ECSA 衰减率与 Rct 漂移量化"载体功能"兑现（R2）。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报告完 · 证据优先（R0/R1/R2 分级）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