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宋体" w:hAnsi="宋体" w:eastAsia="宋体"/>
          <w:b/>
          <w:sz w:val="44"/>
        </w:rPr>
        <w:t>文献精读报告：PEM 水电解中的催化剂溶解——时间、电流密度及单程与循环给水模式下铱离子输运的影响（Catalyst dissolution in PEM water electrolysis: Influence of time, current density and Iridium ion transport in single-pass and recirculation water flow modes）</w:t>
      </w:r>
    </w:p>
    <w:p/>
    <w:p/>
    <w:p/>
    <w:p/>
    <w:p/>
    <w:p/>
    <w:p/>
    <w:p/>
    <w:p/>
    <w:p/>
    <w:p/>
    <w:p/>
    <w:p/>
    <w:p/>
    <w:p>
      <w:pPr>
        <w:jc w:val="center"/>
      </w:pPr>
      <w:r>
        <w:rPr>
          <w:rFonts w:ascii="宋体" w:hAnsi="宋体" w:eastAsia="宋体"/>
          <w:sz w:val="24"/>
        </w:rPr>
        <w:t>编制日期：2026年09月09日</w:t>
      </w:r>
    </w:p>
    <w:p/>
    <w:p>
      <w:r>
        <w:br w:type="page"/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/>
          <w:sz w:val="24"/>
        </w:rPr>
        <w:t>元信息</w:t>
      </w:r>
      <w:r>
        <w:rPr>
          <w:rFonts w:ascii="Times New Roman" w:hAnsi="Times New Roman" w:eastAsia="宋体"/>
          <w:b w:val="0"/>
          <w:sz w:val="24"/>
        </w:rPr>
        <w:t>：An Phuc Dam、Tobias Franz、Georgios Papakonstantinou、Kai Sundmacher（通讯；德国马普复杂技术系统动力学研究所／马格德堡大学）｜</w:t>
      </w:r>
      <w:r>
        <w:rPr>
          <w:rFonts w:ascii="Times New Roman" w:hAnsi="Times New Roman" w:eastAsia="宋体"/>
          <w:b w:val="0"/>
          <w:i/>
          <w:sz w:val="24"/>
        </w:rPr>
        <w:t>Applied Catalysis B: Environment and Energy</w:t>
      </w:r>
      <w:r>
        <w:rPr>
          <w:rFonts w:ascii="Times New Roman" w:hAnsi="Times New Roman" w:eastAsia="宋体"/>
          <w:b w:val="0"/>
          <w:sz w:val="24"/>
        </w:rPr>
        <w:t xml:space="preserve"> 365 (2025) 124946（2024-12-15 在线，2024-09-05 投稿）｜DOI: 10.1016/j.apcatb.2024.124946｜精读日期 2026-09-09</w:t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/>
          <w:sz w:val="24"/>
        </w:rPr>
        <w:t>证据分级</w:t>
      </w:r>
      <w:r>
        <w:rPr>
          <w:rFonts w:ascii="Times New Roman" w:hAnsi="Times New Roman" w:eastAsia="宋体"/>
          <w:b w:val="0"/>
          <w:sz w:val="24"/>
        </w:rPr>
        <w:t>：R0=原文事实（页码锚点 = 提取文本的 PDF 版式页）｜R1=外部背景｜R2=推断</w:t>
      </w:r>
    </w:p>
    <w:p/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1. 文献速览总结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本文在真实"零间距"膜电极（zero-gap MEA）下定量研究 Ir 阳极溶解，回答：溶解如何随时间与电流密度（电位）演化、溶解 Ir 在单程与循环两种阳极给水模式下如何输运与沉积（p.1）。方法：两套单电池测试台——A 站 24.85 cm²（商用 Ion Power CCM，IrOₓ 0.5 mg cm⁻²、Nafion 117、Pt/C 0.2 mg cm⁻²、Pt 涂层多孔传输层），B 站 8.4 cm²（N212，Ir 载荷 1 mg cm⁻²）；ICP-MS 对阳/阴极出水准在线定量 Ir（p.2）。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三个核心发现（p.1）：①</w:t>
      </w:r>
      <w:r>
        <w:rPr>
          <w:rFonts w:ascii="Times New Roman" w:hAnsi="Times New Roman" w:eastAsia="宋体"/>
          <w:b/>
          <w:sz w:val="24"/>
        </w:rPr>
        <w:t>时间稳定化</w:t>
      </w:r>
      <w:r>
        <w:rPr>
          <w:rFonts w:ascii="Times New Roman" w:hAnsi="Times New Roman" w:eastAsia="宋体"/>
          <w:b w:val="0"/>
          <w:sz w:val="24"/>
        </w:rPr>
        <w:t>——即便用消除汇项的单程给水，稳定性数（每溶出 1 个 Ir 对应产生的 O₂ 数）随时间增大两个数量级以上，溶解通量近似 1/t 衰减；②</w:t>
      </w:r>
      <w:r>
        <w:rPr>
          <w:rFonts w:ascii="Times New Roman" w:hAnsi="Times New Roman" w:eastAsia="宋体"/>
          <w:b/>
          <w:sz w:val="24"/>
        </w:rPr>
        <w:t>电流密度效应</w:t>
      </w:r>
      <w:r>
        <w:rPr>
          <w:rFonts w:ascii="Times New Roman" w:hAnsi="Times New Roman" w:eastAsia="宋体"/>
          <w:b w:val="0"/>
          <w:sz w:val="24"/>
        </w:rPr>
        <w:t>——单位 Ir 溶出产氧量随电流密度提高最多增两个数量级后趋平台，高电流下 Ir 溶解与电流近似线性；③</w:t>
      </w:r>
      <w:r>
        <w:rPr>
          <w:rFonts w:ascii="Times New Roman" w:hAnsi="Times New Roman" w:eastAsia="宋体"/>
          <w:b/>
          <w:sz w:val="24"/>
        </w:rPr>
        <w:t>输运与再沉积</w:t>
      </w:r>
      <w:r>
        <w:rPr>
          <w:rFonts w:ascii="Times New Roman" w:hAnsi="Times New Roman" w:eastAsia="宋体"/>
          <w:b w:val="0"/>
          <w:sz w:val="24"/>
        </w:rPr>
        <w:t>——循环给水时 Ir 离子被反输运回催化层再沉积，在高溶解浓度下被稳定，切回单程纯水后暂存 Ir 缓慢再溶出。作者据此建议稳定性测试优先用单程给水，并推论：得益于强时间稳定化，理想催化层设计下商用 IrOₓ 稳态运行 10 年所需载荷可低至约 0.04 mg_Ir cm⁻²（p.8-9）。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2. 课题关联分析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1. 补齐课题最缺的"MEA 工况溶解数据与方法"（R0）。</w:t>
      </w:r>
      <w:r>
        <w:rPr>
          <w:rFonts w:ascii="Times New Roman" w:hAnsi="Times New Roman" w:eastAsia="宋体"/>
          <w:b w:val="0"/>
          <w:sz w:val="24"/>
        </w:rPr>
        <w:t xml:space="preserve"> 耐久性知识多来自 RDE 半电池，而本文量化了鸿沟：半电池中水合准晶 IrOₓ 稳定性数约 10⁵，MEA 中高约四个数量级（10⁹ 量级，p.1、p.4-5），因离子被离聚物/膜截留并再沉积稳定化。三电极结果不能直接外推 MEA 寿命（R1，第二篇 p.14 同此结论）。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2. 提供可照搬的溶解测量与寿命评估框架（R0）。</w:t>
      </w:r>
      <w:r>
        <w:rPr>
          <w:rFonts w:ascii="Times New Roman" w:hAnsi="Times New Roman" w:eastAsia="宋体"/>
          <w:b w:val="0"/>
          <w:sz w:val="24"/>
        </w:rPr>
        <w:t xml:space="preserve"> 单程给水 + 阳极出水 ICP-MS + 修正因子 3.7（计入阴极向输运的 Ir，源自作者前作）即可近似总溶解速率（p.8）；课题耐久测试可直接采用"预活化→稳态→阶梯电流→单程采样→ICP-MS"方案。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3. 时间稳定化直接支持"低铱可用"的论证（R0）。</w:t>
      </w:r>
      <w:r>
        <w:rPr>
          <w:rFonts w:ascii="Times New Roman" w:hAnsi="Times New Roman" w:eastAsia="宋体"/>
          <w:b w:val="0"/>
          <w:sz w:val="24"/>
        </w:rPr>
        <w:t xml:space="preserve"> 溶解通量随时间按 1/t 衰减（ṅ_Ir = A/(1+B·t)），即催化剂自钝化：630 h 稳态累计溶出仅约 520 ng cm⁻²（p.8）。若 IrO₂/MnO₂ 亦表现出该稳定化，即为低铱耐久提供定量论据；其机理（对不稳定位密度呈二次级数的稳定化，p.3）可写入讨论。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4. 与 MnO₂ 载体相关的"溶解-再沉积-自愈"图景（R0+R2）。</w:t>
      </w:r>
      <w:r>
        <w:rPr>
          <w:rFonts w:ascii="Times New Roman" w:hAnsi="Times New Roman" w:eastAsia="宋体"/>
          <w:b w:val="0"/>
          <w:sz w:val="24"/>
        </w:rPr>
        <w:t xml:space="preserve"> 作者证明循环给水时 Ir 阴离子会反输运回阳极催化层、在颗粒上再沉积并被高浓度溶解 Ir 稳定（Nernst 电位移动），纯水冲刷后又缓慢溶出（p.6-7）。这与第一篇 Ru/MnO₂"Mn 溶出-Ru 再沉积"自修复（第一篇 p.29）机理互补：IrO₂/MnO₂ 的 Mn 溶出或伴随金属再沉积的动态平衡，构成潜在自修复体系，可用本文给水切换实验检验（R2）。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5. 低载荷的真正风险是渗流而非"溶光"（R0+R2）。</w:t>
      </w:r>
      <w:r>
        <w:rPr>
          <w:rFonts w:ascii="Times New Roman" w:hAnsi="Times New Roman" w:eastAsia="宋体"/>
          <w:b w:val="0"/>
          <w:sz w:val="24"/>
        </w:rPr>
        <w:t xml:space="preserve"> 即便大部分 Ir 仍在催化层内，局部溶解/迁移也可能切断粒子渗流而整体失活（p.8）；溅射到 PTL 或引入支撑材料可保渗流、允许极低载荷，为"MnO₂ 载体维持连通性"提供机制语言（第二篇 p.13）。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3. 内容深度解读（含关键数据）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（一）时间对溶解的影响（p.3-4）。</w:t>
      </w:r>
      <w:r>
        <w:rPr>
          <w:rFonts w:ascii="Times New Roman" w:hAnsi="Times New Roman" w:eastAsia="宋体"/>
          <w:b w:val="0"/>
          <w:sz w:val="24"/>
        </w:rPr>
        <w:t xml:space="preserve"> 新装电池启动后溶解通量先升（与 CV 活化、表面氧化还原相关）后强烈衰减；升电流瞬间的尖锐溶解峰在第二轮阶梯即消失——表面从不稳定态演化为稳定态；颗粒脱落仅偶发于电流阶跃，占总损失小部分。定量：单程给水下稳定性数在两站都随时间上升两个数量级以上；t&gt;1 h 后溶解通量可用 ṅ_Ir = A/(1+B·t) 描述，即 d(log SN)/d(log t) = 1。机理：该 1/t 依赖可由"对不稳定位密度呈二次级数的表面稳定化反应"推导，而"溶解直接消耗不稳定位"的简单模型无法重现。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（二）电流密度的影响（p.4-5）。</w:t>
      </w:r>
      <w:r>
        <w:rPr>
          <w:rFonts w:ascii="Times New Roman" w:hAnsi="Times New Roman" w:eastAsia="宋体"/>
          <w:b w:val="0"/>
          <w:sz w:val="24"/>
        </w:rPr>
        <w:t xml:space="preserve"> 催化剂进入准稳态后，溶解速率与电流/电位有与极化方向无关的可复现关系，支持 OER 与 Ir 溶解共享表面中间体。低电流区溶解对电流不敏感；高于约 1.6 A cm⁻² 时溶解通量与电流近似线性、随电位近似指数；稳定性数随电流密度升约两个数量级后趋平台。MEA 的 Tafel 斜率约 35 mV dec⁻¹ 远低于半电池，故稳定性数对电流高度敏感。高电流区溶解通量轻微上弯来自电池温升：用表观活化能 43 kJ mol⁻¹（Arrhenius）校正后上弯消失。低于 OER 起始电位（E&lt;1.4 V）乃至开路时仍有持续小量溶解，主驱动力是温度而非电位。流向阴极侧的 Ir 通量比阳极侧小至少一个数量级，多数向阴极迁移的离子沉积在 CCM 内（膜中近 ACL 形成"Ir 带"）。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（三）溶解产物形态与输运（p.5-7）。</w:t>
      </w:r>
      <w:r>
        <w:rPr>
          <w:rFonts w:ascii="Times New Roman" w:hAnsi="Times New Roman" w:eastAsia="宋体"/>
          <w:b w:val="0"/>
          <w:sz w:val="24"/>
        </w:rPr>
        <w:t xml:space="preserve"> OER 中晶格氧参与使晶格破坏，同时产生阴阳离子产物：阳离子一般认为是 Ir³⁺，阴离子候选为 IrO₄²⁻ 或 Ir(OH)₆²⁻（p.1）。Nafion 阳离子交换膜吸收实验显示：单程给水阳极出水中阳离子占比约 0.24–0.3，稳态后近似恒定；阴极水中阴阳离子并存（吸收分数约 0.4）但通量小得多。循环给水时阳离子被离聚物/膜再吸收而趋零，阴离子因亲和力低（分配系数 K_p 小）可在回路累积至高浓度。阴离子很少到达阴极：迁移力将其推向阳极、对离聚物亲和低（易被气泡带走）、IrO₄²⁻ 等大阴离子需较宽输运通道而随 Ir 带生长越发稀缺。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（四）循环给水的汇项与再沉积证据（p.6-7）。</w:t>
      </w:r>
      <w:r>
        <w:rPr>
          <w:rFonts w:ascii="Times New Roman" w:hAnsi="Times New Roman" w:eastAsia="宋体"/>
          <w:b w:val="0"/>
          <w:sz w:val="24"/>
        </w:rPr>
        <w:t xml:space="preserve"> 约 100 h 循环实验中（0.8 A cm⁻²），Ir 浓度先升至约 49 h；暂停补水（浓缩）时陡增，恢复补水后反降——证明回路存在显著汇（反输运回 CCM）。参数化模型（分离沉积实验已排除流场与 PTL 表面沉积）拟合得 S_N,w = 2.62×10⁹，与单程实测约 2.5×10⁹ 吻合。切回单程后溶解通量约需 18 h 回落，释放的"超额 Ir"恰等于循环 101 h 内消失的 Ir 量（质量平衡）——Ir 阴离子在循环期被暂存于 CCM。暂存域分析排除水相与膜相（容量不足），指向 ACL 内颗粒上的再沉积；"高浓度稳定沉积"可能是 MEA 稳定性远高于半电池的原因。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（五）单程给水推荐与寿命分析（p.8-9）。</w:t>
      </w:r>
      <w:r>
        <w:rPr>
          <w:rFonts w:ascii="Times New Roman" w:hAnsi="Times New Roman" w:eastAsia="宋体"/>
          <w:b w:val="0"/>
          <w:sz w:val="24"/>
        </w:rPr>
        <w:t xml:space="preserve"> 循环给水汇项显著（可得 S_N→∞ 或 S_N&lt;0 等不合理结果），故稳定性测试宜用单程给水——模拟工业"循环+离子交换树脂纯化"的真实工况，且溶解通量与流速无关。寿命评估：取 630 h 稳态后稳定性数、以 3.7 计阴极向损失、按"溶出 20% Ir 为寿命终点"外推，商用 IrOₓ 在理想催化层（保质子/电子连通）下稳态 10 年所需载荷可低至约 0.04 mg cm⁻²（图10）。局限：未含间歇运行、3.7 未计阳离子再沉积收益、寿命定义偏简；本工作与文献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>21]曲线差异提示 CCM 制备工艺与装配显著影响溶解。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4. 技术难点识别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溶解定量的"汇项"污染（R0）</w:t>
      </w:r>
      <w:r>
        <w:rPr>
          <w:rFonts w:ascii="Times New Roman" w:hAnsi="Times New Roman" w:eastAsia="宋体"/>
          <w:b w:val="0"/>
          <w:sz w:val="24"/>
        </w:rPr>
        <w:t>：循环给水下 Ir 被反输运/再吸收/沉积，溶解速率被系统性低估，稳定性数可发散为无物理意义的值；这解释了半电池与 MEA 稳定性数相差四个数量级的乱象。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溶解与 OER 共享中间体的机理耦合（R0）</w:t>
      </w:r>
      <w:r>
        <w:rPr>
          <w:rFonts w:ascii="Times New Roman" w:hAnsi="Times New Roman" w:eastAsia="宋体"/>
          <w:b w:val="0"/>
          <w:sz w:val="24"/>
        </w:rPr>
        <w:t>：溶解"寄生"于 OER 循环，又叠加时间稳定化与温度效应（43 kJ mol⁻¹），需阶梯-恒载序列才能把速率对电流/时间/温度/电位的依赖解耦。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产物形态与去向多样（R0）</w:t>
      </w:r>
      <w:r>
        <w:rPr>
          <w:rFonts w:ascii="Times New Roman" w:hAnsi="Times New Roman" w:eastAsia="宋体"/>
          <w:b w:val="0"/>
          <w:sz w:val="24"/>
        </w:rPr>
        <w:t>：阴阳离子并存、分配系数不同、Ir 带阻挡、再沉积并存——材料层损失 ≠ 电解液测得 Ir，单点采样不能代表全貌。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低载荷下渗流/连通性风险（R0）</w:t>
      </w:r>
      <w:r>
        <w:rPr>
          <w:rFonts w:ascii="Times New Roman" w:hAnsi="Times New Roman" w:eastAsia="宋体"/>
          <w:b w:val="0"/>
          <w:sz w:val="24"/>
        </w:rPr>
        <w:t>：即使 Ir 溶出量很小（630 h 约 520 ng cm⁻²），局部溶解也可能切断粒子接触、使催化层整体失活——"量少但致命"的退化模式。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5. </w:t>
      </w:r>
      <w:r>
        <w:rPr>
          <w:rFonts w:ascii="Times New Roman" w:hAnsi="Times New Roman" w:eastAsia="宋体"/>
          <w:b/>
          <w:sz w:val="24"/>
        </w:rPr>
        <w:t>间歇/动态工况数据缺失（R0）</w:t>
      </w:r>
      <w:r>
        <w:rPr>
          <w:rFonts w:ascii="Times New Roman" w:hAnsi="Times New Roman" w:eastAsia="宋体"/>
          <w:b w:val="0"/>
          <w:sz w:val="24"/>
        </w:rPr>
        <w:t>：PEMWE 需频繁变载启停以跟随可再生电源，波动工况的溶解与再稳定仍是空白。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5. 可借鉴点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以稳定性数为核心耐久指标</w:t>
      </w:r>
      <w:r>
        <w:rPr>
          <w:rFonts w:ascii="Times New Roman" w:hAnsi="Times New Roman" w:eastAsia="宋体"/>
          <w:b w:val="0"/>
          <w:sz w:val="24"/>
        </w:rPr>
        <w:t>：报告"每溶出一个 Ir 对应多少产氧量"，可跨电流密度与载荷比较，正是第二篇呼吁的规范（第二篇 p.3、p.14）。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单程给水测试方案</w:t>
      </w:r>
      <w:r>
        <w:rPr>
          <w:rFonts w:ascii="Times New Roman" w:hAnsi="Times New Roman" w:eastAsia="宋体"/>
          <w:b w:val="0"/>
          <w:sz w:val="24"/>
        </w:rPr>
        <w:t>：能在电解槽/流动池阳极出水端做 ICP-MS 就采用单程模式并说明理由；本科条件不具备时，须对循环测试结果做"汇项偏置"免责说明。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预活化与稳定化叙事</w:t>
      </w:r>
      <w:r>
        <w:rPr>
          <w:rFonts w:ascii="Times New Roman" w:hAnsi="Times New Roman" w:eastAsia="宋体"/>
          <w:b w:val="0"/>
          <w:sz w:val="24"/>
        </w:rPr>
        <w:t>：1/t 稳定化既是机理也是实验设计依据——测试前先让催化剂进入准稳态，勿把活化期溶解尖峰误读为稳态降解（p.3）。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电解液元素监测迁移到本课题</w:t>
      </w:r>
      <w:r>
        <w:rPr>
          <w:rFonts w:ascii="Times New Roman" w:hAnsi="Times New Roman" w:eastAsia="宋体"/>
          <w:b w:val="0"/>
          <w:sz w:val="24"/>
        </w:rPr>
        <w:t>：对 IrO₂/MnO₂ 同时测 Ir 与 Mn，用"切换给水模式观察超额释放"检验体系是否存在暂存/自愈（R2）。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5. </w:t>
      </w:r>
      <w:r>
        <w:rPr>
          <w:rFonts w:ascii="Times New Roman" w:hAnsi="Times New Roman" w:eastAsia="宋体"/>
          <w:b/>
          <w:sz w:val="24"/>
        </w:rPr>
        <w:t>寿命估算模板</w:t>
      </w:r>
      <w:r>
        <w:rPr>
          <w:rFonts w:ascii="Times New Roman" w:hAnsi="Times New Roman" w:eastAsia="宋体"/>
          <w:b w:val="0"/>
          <w:sz w:val="24"/>
        </w:rPr>
        <w:t>：稳态溶出速率 + 允许损失分数（20%）+ 载荷简单外推，并把"催化层连通性"作为比"溶光 Ir"更现实的失效判据。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6. </w:t>
      </w:r>
      <w:r>
        <w:rPr>
          <w:rFonts w:ascii="Times New Roman" w:hAnsi="Times New Roman" w:eastAsia="宋体"/>
          <w:b/>
          <w:sz w:val="24"/>
        </w:rPr>
        <w:t>温度作为独立变量</w:t>
      </w:r>
      <w:r>
        <w:rPr>
          <w:rFonts w:ascii="Times New Roman" w:hAnsi="Times New Roman" w:eastAsia="宋体"/>
          <w:b w:val="0"/>
          <w:sz w:val="24"/>
        </w:rPr>
        <w:t>：溶解对温度敏感（43 kJ mol⁻¹），测试须控温并报告，避免把温升误归因于电位。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6. 延伸思考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"寿命载荷下限"的两篇之争（R0/R2）</w:t>
      </w:r>
      <w:r>
        <w:rPr>
          <w:rFonts w:ascii="Times New Roman" w:hAnsi="Times New Roman" w:eastAsia="宋体"/>
          <w:b w:val="0"/>
          <w:sz w:val="24"/>
        </w:rPr>
        <w:t>：第二篇据 Yu 等显微研究断言 10 年寿命需 ≥0.65 mg cm⁻²（第二篇 p.14），本文 630 h 稳态外推认为约 0.04 mg cm⁻² 即可（p.8）。分歧根源在前者面向含波动启停的真实寿命、后者仅覆盖纯稳态并计入自稳定化。对本课题：低铱催化剂须同时回答"稳态能跑多久"与"波动下退化多快"，任何单一测试都偏。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再沉积稳定化或改写"溶出=损失"的常识（R2）</w:t>
      </w:r>
      <w:r>
        <w:rPr>
          <w:rFonts w:ascii="Times New Roman" w:hAnsi="Times New Roman" w:eastAsia="宋体"/>
          <w:b w:val="0"/>
          <w:sz w:val="24"/>
        </w:rPr>
        <w:t>：高浓度溶解 Ir 可稳定已沉积物种（Nernst 移动），溶解-沉积存在动态平衡；若 Mn 持续缓慢溶出使界面维持金属离子微环境，或能缓冲 Ir 净损失，但须防 Mn 离子入膜污染（第一篇 p.29 告诫）。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Ir 带的"隐形杀手"角色（R0+R2）</w:t>
      </w:r>
      <w:r>
        <w:rPr>
          <w:rFonts w:ascii="Times New Roman" w:hAnsi="Times New Roman" w:eastAsia="宋体"/>
          <w:b w:val="0"/>
          <w:sz w:val="24"/>
        </w:rPr>
        <w:t>：向阴极迁移的 Ir 在膜内成带（p.5），阻塞离子输运也构成回收富集点；膜电极层面研究须同时关心"溶出归宿"与"催化剂自身耐久"。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与微波合成的衔接（R2）</w:t>
      </w:r>
      <w:r>
        <w:rPr>
          <w:rFonts w:ascii="Times New Roman" w:hAnsi="Times New Roman" w:eastAsia="宋体"/>
          <w:b w:val="0"/>
          <w:sz w:val="24"/>
        </w:rPr>
        <w:t>：商用 IrOₓ 的 1/t 自稳定化可能源于表面重构为稳定相（p.3）；微波多元醇产物的初始表面态（缺陷多、水合度高）决定初始溶解峰高度与稳定化速率——初期快速活化是福是祸，宜用本文时间分辨协议回答。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5. </w:t>
      </w:r>
      <w:r>
        <w:rPr>
          <w:rFonts w:ascii="Times New Roman" w:hAnsi="Times New Roman" w:eastAsia="宋体"/>
          <w:b/>
          <w:sz w:val="24"/>
        </w:rPr>
        <w:t>方法学价值（R2）</w:t>
      </w:r>
      <w:r>
        <w:rPr>
          <w:rFonts w:ascii="Times New Roman" w:hAnsi="Times New Roman" w:eastAsia="宋体"/>
          <w:b w:val="0"/>
          <w:sz w:val="24"/>
        </w:rPr>
        <w:t>：单程给水 + ICP-MS 准在线溶解测量若与 RDE 结果并置发表，可正面回应"RDE 稳定性不可靠"的批评（第二篇 p.14）。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报告完 · 证据优先（R0/R1/R2 分级）</w:t>
      </w:r>
    </w:p>
    <w:sectPr>
      <w:headerReference r:id="rId5" w:type="default"/>
      <w:footerReference r:id="rId6" w:type="default"/>
      <w:pgSz w:w="11906" w:h="16838"/>
      <w:pgMar w:top="1440" w:right="1644" w:bottom="1440" w:left="1797" w:header="851" w:footer="851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pBdr>
        <w:top w:val="single" w:color="auto" w:sz="4" w:space="1"/>
      </w:pBdr>
      <w:jc w:val="right"/>
    </w:pPr>
    <w:sdt>
      <w:sdtPr>
        <w:id w:val="-1"/>
      </w:sdtPr>
      <w:sdtContent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5</w:t>
        </w:r>
        <w: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  <w:pBdr>
        <w:bottom w:val="none" w:color="auto" w:sz="0" w:space="0"/>
      </w:pBdr>
      <w:tabs>
        <w:tab w:val="left" w:pos="260"/>
      </w:tabs>
      <w:jc w:val="left"/>
      <w:rPr>
        <w:rFonts w:hint="eastAsia" w:eastAsia="宋体"/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336078"/>
    <w:multiLevelType w:val="multilevel"/>
    <w:tmpl w:val="0E336078"/>
    <w:lvl w:ilvl="0" w:tentative="0">
      <w:start w:val="1"/>
      <w:numFmt w:val="bullet"/>
      <w:pStyle w:val="43"/>
      <w:lvlText w:val=""/>
      <w:lvlJc w:val="left"/>
      <w:pPr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1">
    <w:nsid w:val="18262C5A"/>
    <w:multiLevelType w:val="multilevel"/>
    <w:tmpl w:val="18262C5A"/>
    <w:lvl w:ilvl="0" w:tentative="0">
      <w:start w:val="1"/>
      <w:numFmt w:val="decimal"/>
      <w:pStyle w:val="57"/>
      <w:lvlText w:val="步骤%1."/>
      <w:lvlJc w:val="left"/>
      <w:pPr>
        <w:tabs>
          <w:tab w:val="left" w:pos="1276"/>
        </w:tabs>
        <w:ind w:left="1276" w:hanging="879"/>
      </w:pPr>
      <w:rPr>
        <w:rFonts w:hint="default" w:ascii="Times New Roman" w:hAnsi="Times New Roman" w:eastAsia="宋体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1" w:tentative="0">
      <w:start w:val="1"/>
      <w:numFmt w:val="lowerLetter"/>
      <w:lvlText w:val="%2)"/>
      <w:lvlJc w:val="left"/>
      <w:pPr>
        <w:tabs>
          <w:tab w:val="left" w:pos="1469"/>
        </w:tabs>
        <w:ind w:left="1469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889"/>
        </w:tabs>
        <w:ind w:left="1889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2309"/>
        </w:tabs>
        <w:ind w:left="2309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729"/>
        </w:tabs>
        <w:ind w:left="2729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3149"/>
        </w:tabs>
        <w:ind w:left="3149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569"/>
        </w:tabs>
        <w:ind w:left="3569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989"/>
        </w:tabs>
        <w:ind w:left="3989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409"/>
        </w:tabs>
        <w:ind w:left="4409" w:hanging="420"/>
      </w:pPr>
      <w:rPr>
        <w:rFonts w:hint="eastAsia"/>
      </w:rPr>
    </w:lvl>
  </w:abstractNum>
  <w:abstractNum w:abstractNumId="2">
    <w:nsid w:val="3F9E4C1A"/>
    <w:multiLevelType w:val="multilevel"/>
    <w:tmpl w:val="3F9E4C1A"/>
    <w:lvl w:ilvl="0" w:tentative="0">
      <w:start w:val="1"/>
      <w:numFmt w:val="bullet"/>
      <w:pStyle w:val="47"/>
      <w:lvlText w:val=""/>
      <w:lvlJc w:val="left"/>
      <w:pPr>
        <w:tabs>
          <w:tab w:val="left" w:pos="1200"/>
        </w:tabs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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3">
    <w:nsid w:val="561E0D03"/>
    <w:multiLevelType w:val="multilevel"/>
    <w:tmpl w:val="561E0D03"/>
    <w:lvl w:ilvl="0" w:tentative="0">
      <w:start w:val="1"/>
      <w:numFmt w:val="bullet"/>
      <w:pStyle w:val="60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4">
    <w:nsid w:val="57E06AFF"/>
    <w:multiLevelType w:val="multilevel"/>
    <w:tmpl w:val="57E06AFF"/>
    <w:lvl w:ilvl="0" w:tentative="0">
      <w:start w:val="1"/>
      <w:numFmt w:val="decimal"/>
      <w:pStyle w:val="2"/>
      <w:lvlText w:val="%1."/>
      <w:lvlJc w:val="left"/>
      <w:pPr>
        <w:ind w:left="420" w:hanging="420"/>
      </w:pPr>
      <w:rPr>
        <w:rFonts w:hint="default" w:ascii="Times New Roman" w:hAnsi="Times New Roman" w:eastAsia="宋体"/>
        <w:b/>
        <w:i w:val="0"/>
        <w:sz w:val="44"/>
      </w:rPr>
    </w:lvl>
    <w:lvl w:ilvl="1" w:tentative="0">
      <w:start w:val="1"/>
      <w:numFmt w:val="decimal"/>
      <w:pStyle w:val="4"/>
      <w:lvlText w:val="%1.%2."/>
      <w:lvlJc w:val="left"/>
      <w:pPr>
        <w:ind w:left="567" w:hanging="567"/>
      </w:pPr>
      <w:rPr>
        <w:rFonts w:hint="default" w:ascii="Times New Roman" w:hAnsi="Times New Roman" w:eastAsia="宋体"/>
        <w:b/>
        <w:i w:val="0"/>
        <w:sz w:val="32"/>
      </w:rPr>
    </w:lvl>
    <w:lvl w:ilvl="2" w:tentative="0">
      <w:start w:val="1"/>
      <w:numFmt w:val="decimal"/>
      <w:pStyle w:val="5"/>
      <w:lvlText w:val="%1.%2.%3."/>
      <w:lvlJc w:val="left"/>
      <w:pPr>
        <w:ind w:left="709" w:hanging="709"/>
      </w:pPr>
      <w:rPr>
        <w:rFonts w:hint="default" w:ascii="Times New Roman" w:hAnsi="Times New Roman" w:eastAsia="宋体"/>
        <w:b/>
        <w:i w:val="0"/>
        <w:sz w:val="30"/>
      </w:rPr>
    </w:lvl>
    <w:lvl w:ilvl="3" w:tentative="0">
      <w:start w:val="1"/>
      <w:numFmt w:val="decimal"/>
      <w:pStyle w:val="6"/>
      <w:lvlText w:val="%1.%2.%3.%4."/>
      <w:lvlJc w:val="left"/>
      <w:pPr>
        <w:ind w:left="851" w:hanging="851"/>
      </w:pPr>
      <w:rPr>
        <w:rFonts w:hint="default" w:ascii="Times New Roman" w:hAnsi="Times New Roman" w:eastAsia="宋体"/>
        <w:b/>
        <w:i w:val="0"/>
        <w:sz w:val="28"/>
      </w:rPr>
    </w:lvl>
    <w:lvl w:ilvl="4" w:tentative="0">
      <w:start w:val="1"/>
      <w:numFmt w:val="decimal"/>
      <w:pStyle w:val="7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pStyle w:val="8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pStyle w:val="9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pStyle w:val="10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pStyle w:val="11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gzN2I2M2FjNzAxNWM4MDAyYjdlZjZmOWZmMmM2NWMifQ=="/>
  </w:docVars>
  <w:rsids>
    <w:rsidRoot w:val="00E1465D"/>
    <w:rsid w:val="00001098"/>
    <w:rsid w:val="00001EA7"/>
    <w:rsid w:val="00007345"/>
    <w:rsid w:val="00027164"/>
    <w:rsid w:val="000271E1"/>
    <w:rsid w:val="000741A7"/>
    <w:rsid w:val="00075B09"/>
    <w:rsid w:val="00080170"/>
    <w:rsid w:val="00085016"/>
    <w:rsid w:val="00086E86"/>
    <w:rsid w:val="00092073"/>
    <w:rsid w:val="000937CB"/>
    <w:rsid w:val="000B2F55"/>
    <w:rsid w:val="000B4D0B"/>
    <w:rsid w:val="000B6B0E"/>
    <w:rsid w:val="000B6D43"/>
    <w:rsid w:val="000C2498"/>
    <w:rsid w:val="000D2BA8"/>
    <w:rsid w:val="000E39BC"/>
    <w:rsid w:val="000E45B6"/>
    <w:rsid w:val="000F2DD4"/>
    <w:rsid w:val="00112239"/>
    <w:rsid w:val="00114537"/>
    <w:rsid w:val="001152B7"/>
    <w:rsid w:val="00120248"/>
    <w:rsid w:val="001220F5"/>
    <w:rsid w:val="00122B6C"/>
    <w:rsid w:val="00156CEC"/>
    <w:rsid w:val="00162F88"/>
    <w:rsid w:val="001758CF"/>
    <w:rsid w:val="00182BDF"/>
    <w:rsid w:val="001976A1"/>
    <w:rsid w:val="001A60A8"/>
    <w:rsid w:val="001A7855"/>
    <w:rsid w:val="001B4F9F"/>
    <w:rsid w:val="001C5E9B"/>
    <w:rsid w:val="001C75D1"/>
    <w:rsid w:val="001D185D"/>
    <w:rsid w:val="001D5A30"/>
    <w:rsid w:val="001E1371"/>
    <w:rsid w:val="00202256"/>
    <w:rsid w:val="002170AF"/>
    <w:rsid w:val="00217AE3"/>
    <w:rsid w:val="0022051F"/>
    <w:rsid w:val="002219ED"/>
    <w:rsid w:val="00221A6C"/>
    <w:rsid w:val="0022700A"/>
    <w:rsid w:val="00241414"/>
    <w:rsid w:val="0025741B"/>
    <w:rsid w:val="002651E1"/>
    <w:rsid w:val="00283839"/>
    <w:rsid w:val="002908A8"/>
    <w:rsid w:val="002955C9"/>
    <w:rsid w:val="002A0CEE"/>
    <w:rsid w:val="002A7851"/>
    <w:rsid w:val="002B1F3E"/>
    <w:rsid w:val="002C3BEB"/>
    <w:rsid w:val="002D102E"/>
    <w:rsid w:val="002D1179"/>
    <w:rsid w:val="002D1191"/>
    <w:rsid w:val="002D1840"/>
    <w:rsid w:val="002D3528"/>
    <w:rsid w:val="002E23A3"/>
    <w:rsid w:val="002E3E40"/>
    <w:rsid w:val="002F11F0"/>
    <w:rsid w:val="002F7AFA"/>
    <w:rsid w:val="00301A5C"/>
    <w:rsid w:val="0031781C"/>
    <w:rsid w:val="003245E7"/>
    <w:rsid w:val="00326E1C"/>
    <w:rsid w:val="00341280"/>
    <w:rsid w:val="00343FFA"/>
    <w:rsid w:val="00354BF6"/>
    <w:rsid w:val="0037087D"/>
    <w:rsid w:val="0037111D"/>
    <w:rsid w:val="003724B0"/>
    <w:rsid w:val="00375793"/>
    <w:rsid w:val="00375ECD"/>
    <w:rsid w:val="00391BFA"/>
    <w:rsid w:val="00393CFB"/>
    <w:rsid w:val="003A3882"/>
    <w:rsid w:val="003C39F9"/>
    <w:rsid w:val="003C5C0F"/>
    <w:rsid w:val="003D02F0"/>
    <w:rsid w:val="003D1D37"/>
    <w:rsid w:val="003D3FB6"/>
    <w:rsid w:val="003D5CDB"/>
    <w:rsid w:val="003E0D83"/>
    <w:rsid w:val="003E0FBC"/>
    <w:rsid w:val="003E4B7B"/>
    <w:rsid w:val="003F57EA"/>
    <w:rsid w:val="00404500"/>
    <w:rsid w:val="0041574D"/>
    <w:rsid w:val="00420C65"/>
    <w:rsid w:val="004429DD"/>
    <w:rsid w:val="004543CF"/>
    <w:rsid w:val="00456090"/>
    <w:rsid w:val="00473C78"/>
    <w:rsid w:val="00487673"/>
    <w:rsid w:val="004904EB"/>
    <w:rsid w:val="004A4EE5"/>
    <w:rsid w:val="004A7608"/>
    <w:rsid w:val="004B1095"/>
    <w:rsid w:val="004B23E7"/>
    <w:rsid w:val="004B3BC0"/>
    <w:rsid w:val="004C6155"/>
    <w:rsid w:val="004D3EC4"/>
    <w:rsid w:val="004F7417"/>
    <w:rsid w:val="00506386"/>
    <w:rsid w:val="00517490"/>
    <w:rsid w:val="00517FD6"/>
    <w:rsid w:val="005213FD"/>
    <w:rsid w:val="00527614"/>
    <w:rsid w:val="00542087"/>
    <w:rsid w:val="00560242"/>
    <w:rsid w:val="005672AC"/>
    <w:rsid w:val="00580AF6"/>
    <w:rsid w:val="00582CDD"/>
    <w:rsid w:val="005A4AF0"/>
    <w:rsid w:val="005B0F85"/>
    <w:rsid w:val="005C41B4"/>
    <w:rsid w:val="005C4734"/>
    <w:rsid w:val="005F26FE"/>
    <w:rsid w:val="005F41E0"/>
    <w:rsid w:val="00602A90"/>
    <w:rsid w:val="0060593F"/>
    <w:rsid w:val="0060646F"/>
    <w:rsid w:val="00610A08"/>
    <w:rsid w:val="00626386"/>
    <w:rsid w:val="00633A41"/>
    <w:rsid w:val="006340E9"/>
    <w:rsid w:val="00652A76"/>
    <w:rsid w:val="00653C9F"/>
    <w:rsid w:val="006554DD"/>
    <w:rsid w:val="00657BBB"/>
    <w:rsid w:val="0067535A"/>
    <w:rsid w:val="0069195F"/>
    <w:rsid w:val="00692BAB"/>
    <w:rsid w:val="006A031C"/>
    <w:rsid w:val="006A1739"/>
    <w:rsid w:val="006A38A3"/>
    <w:rsid w:val="006B63C7"/>
    <w:rsid w:val="006C4566"/>
    <w:rsid w:val="006D2481"/>
    <w:rsid w:val="006F5071"/>
    <w:rsid w:val="006F67A8"/>
    <w:rsid w:val="00701354"/>
    <w:rsid w:val="00701EDD"/>
    <w:rsid w:val="007023F9"/>
    <w:rsid w:val="007050F9"/>
    <w:rsid w:val="00707AE6"/>
    <w:rsid w:val="007129A7"/>
    <w:rsid w:val="00726465"/>
    <w:rsid w:val="00727823"/>
    <w:rsid w:val="0074380A"/>
    <w:rsid w:val="007505E8"/>
    <w:rsid w:val="0076290B"/>
    <w:rsid w:val="00764A60"/>
    <w:rsid w:val="00774F42"/>
    <w:rsid w:val="0077543F"/>
    <w:rsid w:val="00782439"/>
    <w:rsid w:val="00783765"/>
    <w:rsid w:val="00785248"/>
    <w:rsid w:val="007D69A8"/>
    <w:rsid w:val="007E134C"/>
    <w:rsid w:val="007E2CB0"/>
    <w:rsid w:val="0080796D"/>
    <w:rsid w:val="0081087B"/>
    <w:rsid w:val="008128DC"/>
    <w:rsid w:val="00820265"/>
    <w:rsid w:val="00827C30"/>
    <w:rsid w:val="008340DE"/>
    <w:rsid w:val="008363A4"/>
    <w:rsid w:val="00842109"/>
    <w:rsid w:val="00845B71"/>
    <w:rsid w:val="00845FE6"/>
    <w:rsid w:val="00854267"/>
    <w:rsid w:val="0085614F"/>
    <w:rsid w:val="0086496D"/>
    <w:rsid w:val="00866609"/>
    <w:rsid w:val="00867969"/>
    <w:rsid w:val="008745A8"/>
    <w:rsid w:val="00885C56"/>
    <w:rsid w:val="00887792"/>
    <w:rsid w:val="0089097A"/>
    <w:rsid w:val="00893B00"/>
    <w:rsid w:val="00895587"/>
    <w:rsid w:val="008B0CB9"/>
    <w:rsid w:val="008C4B7D"/>
    <w:rsid w:val="008C6DA8"/>
    <w:rsid w:val="008D2305"/>
    <w:rsid w:val="008E28EB"/>
    <w:rsid w:val="008E6F5B"/>
    <w:rsid w:val="0090303B"/>
    <w:rsid w:val="00907431"/>
    <w:rsid w:val="00914AC3"/>
    <w:rsid w:val="0092367C"/>
    <w:rsid w:val="00931D12"/>
    <w:rsid w:val="00932376"/>
    <w:rsid w:val="0093742E"/>
    <w:rsid w:val="0094008B"/>
    <w:rsid w:val="0094276E"/>
    <w:rsid w:val="0094720E"/>
    <w:rsid w:val="00951078"/>
    <w:rsid w:val="009538D6"/>
    <w:rsid w:val="00956AB8"/>
    <w:rsid w:val="00956FE8"/>
    <w:rsid w:val="009573A9"/>
    <w:rsid w:val="009655AF"/>
    <w:rsid w:val="00970CC9"/>
    <w:rsid w:val="00976FE8"/>
    <w:rsid w:val="00980E83"/>
    <w:rsid w:val="00985053"/>
    <w:rsid w:val="00991F3F"/>
    <w:rsid w:val="009A1042"/>
    <w:rsid w:val="009B3DED"/>
    <w:rsid w:val="009B4EFE"/>
    <w:rsid w:val="009B6598"/>
    <w:rsid w:val="009C1618"/>
    <w:rsid w:val="009C5B28"/>
    <w:rsid w:val="009C7207"/>
    <w:rsid w:val="009D6B51"/>
    <w:rsid w:val="009E0543"/>
    <w:rsid w:val="00A032D0"/>
    <w:rsid w:val="00A058AA"/>
    <w:rsid w:val="00A05999"/>
    <w:rsid w:val="00A07817"/>
    <w:rsid w:val="00A15752"/>
    <w:rsid w:val="00A17402"/>
    <w:rsid w:val="00A30A20"/>
    <w:rsid w:val="00A40675"/>
    <w:rsid w:val="00A42AA3"/>
    <w:rsid w:val="00A4717F"/>
    <w:rsid w:val="00A54416"/>
    <w:rsid w:val="00A67481"/>
    <w:rsid w:val="00A67F11"/>
    <w:rsid w:val="00A72FE9"/>
    <w:rsid w:val="00A767BA"/>
    <w:rsid w:val="00A8030B"/>
    <w:rsid w:val="00A8187A"/>
    <w:rsid w:val="00A83499"/>
    <w:rsid w:val="00A949D4"/>
    <w:rsid w:val="00AA2EB9"/>
    <w:rsid w:val="00AB0BB9"/>
    <w:rsid w:val="00AB0E93"/>
    <w:rsid w:val="00AB1353"/>
    <w:rsid w:val="00AB3B02"/>
    <w:rsid w:val="00AD64F7"/>
    <w:rsid w:val="00AD6B9E"/>
    <w:rsid w:val="00AE31FA"/>
    <w:rsid w:val="00AF288B"/>
    <w:rsid w:val="00B067B9"/>
    <w:rsid w:val="00B07578"/>
    <w:rsid w:val="00B10669"/>
    <w:rsid w:val="00B1125D"/>
    <w:rsid w:val="00B314C0"/>
    <w:rsid w:val="00B3318F"/>
    <w:rsid w:val="00B3475E"/>
    <w:rsid w:val="00B41969"/>
    <w:rsid w:val="00B42F85"/>
    <w:rsid w:val="00B54A51"/>
    <w:rsid w:val="00B552A1"/>
    <w:rsid w:val="00B55385"/>
    <w:rsid w:val="00B562ED"/>
    <w:rsid w:val="00B77E76"/>
    <w:rsid w:val="00B93C18"/>
    <w:rsid w:val="00BB1B9B"/>
    <w:rsid w:val="00BC283B"/>
    <w:rsid w:val="00BC69F1"/>
    <w:rsid w:val="00BD3FB8"/>
    <w:rsid w:val="00BD4C4E"/>
    <w:rsid w:val="00BD7FB7"/>
    <w:rsid w:val="00BE4798"/>
    <w:rsid w:val="00BF12A0"/>
    <w:rsid w:val="00C0013E"/>
    <w:rsid w:val="00C128D9"/>
    <w:rsid w:val="00C15CDA"/>
    <w:rsid w:val="00C24C06"/>
    <w:rsid w:val="00C27187"/>
    <w:rsid w:val="00C27FDD"/>
    <w:rsid w:val="00C333B2"/>
    <w:rsid w:val="00C40CBE"/>
    <w:rsid w:val="00C412AE"/>
    <w:rsid w:val="00C454D1"/>
    <w:rsid w:val="00C51BC7"/>
    <w:rsid w:val="00C5635C"/>
    <w:rsid w:val="00C66DB7"/>
    <w:rsid w:val="00C674AD"/>
    <w:rsid w:val="00C710A2"/>
    <w:rsid w:val="00C731B2"/>
    <w:rsid w:val="00C744CD"/>
    <w:rsid w:val="00C96E75"/>
    <w:rsid w:val="00CA0434"/>
    <w:rsid w:val="00CA1649"/>
    <w:rsid w:val="00CA487B"/>
    <w:rsid w:val="00CB2C45"/>
    <w:rsid w:val="00CC147F"/>
    <w:rsid w:val="00CD19C9"/>
    <w:rsid w:val="00CE6BB5"/>
    <w:rsid w:val="00CF72D8"/>
    <w:rsid w:val="00D0030A"/>
    <w:rsid w:val="00D0236E"/>
    <w:rsid w:val="00D0297C"/>
    <w:rsid w:val="00D113FD"/>
    <w:rsid w:val="00D12B74"/>
    <w:rsid w:val="00D14A87"/>
    <w:rsid w:val="00D155B6"/>
    <w:rsid w:val="00D2147F"/>
    <w:rsid w:val="00D22E3E"/>
    <w:rsid w:val="00D248E8"/>
    <w:rsid w:val="00D316CE"/>
    <w:rsid w:val="00D46378"/>
    <w:rsid w:val="00D5152C"/>
    <w:rsid w:val="00D535C3"/>
    <w:rsid w:val="00D53E60"/>
    <w:rsid w:val="00D64FE9"/>
    <w:rsid w:val="00D67A63"/>
    <w:rsid w:val="00D820F7"/>
    <w:rsid w:val="00D95651"/>
    <w:rsid w:val="00DA3342"/>
    <w:rsid w:val="00DB73AA"/>
    <w:rsid w:val="00DB7B31"/>
    <w:rsid w:val="00DC2577"/>
    <w:rsid w:val="00DC26CD"/>
    <w:rsid w:val="00DD4C3D"/>
    <w:rsid w:val="00DF3072"/>
    <w:rsid w:val="00E02484"/>
    <w:rsid w:val="00E107B5"/>
    <w:rsid w:val="00E12799"/>
    <w:rsid w:val="00E1465D"/>
    <w:rsid w:val="00E32953"/>
    <w:rsid w:val="00E35D09"/>
    <w:rsid w:val="00E42894"/>
    <w:rsid w:val="00E432FA"/>
    <w:rsid w:val="00E5789B"/>
    <w:rsid w:val="00E766A1"/>
    <w:rsid w:val="00E85F5A"/>
    <w:rsid w:val="00E96C7D"/>
    <w:rsid w:val="00EA1B98"/>
    <w:rsid w:val="00EA23B6"/>
    <w:rsid w:val="00EA5CA2"/>
    <w:rsid w:val="00EB6006"/>
    <w:rsid w:val="00EB7A10"/>
    <w:rsid w:val="00EC111B"/>
    <w:rsid w:val="00EC50AA"/>
    <w:rsid w:val="00ED4FF9"/>
    <w:rsid w:val="00ED6470"/>
    <w:rsid w:val="00EE385A"/>
    <w:rsid w:val="00EE5A60"/>
    <w:rsid w:val="00EF0F26"/>
    <w:rsid w:val="00F15B0B"/>
    <w:rsid w:val="00F30BA9"/>
    <w:rsid w:val="00F520A6"/>
    <w:rsid w:val="00F56DE0"/>
    <w:rsid w:val="00F620A1"/>
    <w:rsid w:val="00F82AFD"/>
    <w:rsid w:val="00F82EE2"/>
    <w:rsid w:val="00F8678B"/>
    <w:rsid w:val="00F91127"/>
    <w:rsid w:val="00F93AE4"/>
    <w:rsid w:val="00FB16F1"/>
    <w:rsid w:val="00FB4F4A"/>
    <w:rsid w:val="00FB5904"/>
    <w:rsid w:val="00FB593A"/>
    <w:rsid w:val="00FB6323"/>
    <w:rsid w:val="00FC3294"/>
    <w:rsid w:val="00FC53E2"/>
    <w:rsid w:val="00FD6269"/>
    <w:rsid w:val="00FF1DDA"/>
    <w:rsid w:val="00FF5B05"/>
    <w:rsid w:val="03434F54"/>
    <w:rsid w:val="06163A32"/>
    <w:rsid w:val="067F2A0E"/>
    <w:rsid w:val="06EA1F1A"/>
    <w:rsid w:val="070F5170"/>
    <w:rsid w:val="08D763CA"/>
    <w:rsid w:val="0D4C0A39"/>
    <w:rsid w:val="0FFB1952"/>
    <w:rsid w:val="146723CC"/>
    <w:rsid w:val="147B680C"/>
    <w:rsid w:val="15324901"/>
    <w:rsid w:val="1539797F"/>
    <w:rsid w:val="15EB22B4"/>
    <w:rsid w:val="1639423A"/>
    <w:rsid w:val="17EDC250"/>
    <w:rsid w:val="1B302ADF"/>
    <w:rsid w:val="1B620B59"/>
    <w:rsid w:val="1EBA04C4"/>
    <w:rsid w:val="1F437447"/>
    <w:rsid w:val="1F76D75D"/>
    <w:rsid w:val="233576CE"/>
    <w:rsid w:val="23F530CF"/>
    <w:rsid w:val="26271017"/>
    <w:rsid w:val="26322DEF"/>
    <w:rsid w:val="281A1A02"/>
    <w:rsid w:val="28B503F7"/>
    <w:rsid w:val="28CD2D3C"/>
    <w:rsid w:val="2CD75F5D"/>
    <w:rsid w:val="33F400E2"/>
    <w:rsid w:val="359E69AC"/>
    <w:rsid w:val="38BFF1E2"/>
    <w:rsid w:val="39B4455A"/>
    <w:rsid w:val="3ADF6EFD"/>
    <w:rsid w:val="3B982DE0"/>
    <w:rsid w:val="3BBB21DC"/>
    <w:rsid w:val="3C8C2C72"/>
    <w:rsid w:val="3D2DF7A3"/>
    <w:rsid w:val="406D5E55"/>
    <w:rsid w:val="43A37870"/>
    <w:rsid w:val="479354BC"/>
    <w:rsid w:val="486E535B"/>
    <w:rsid w:val="49FD0DB6"/>
    <w:rsid w:val="534A1D9D"/>
    <w:rsid w:val="55756839"/>
    <w:rsid w:val="5D8C4BE8"/>
    <w:rsid w:val="5FF52DFF"/>
    <w:rsid w:val="60A70F0A"/>
    <w:rsid w:val="6E6D028B"/>
    <w:rsid w:val="6EBBBD9B"/>
    <w:rsid w:val="706C1AC9"/>
    <w:rsid w:val="72DF7849"/>
    <w:rsid w:val="72EC0678"/>
    <w:rsid w:val="7397B993"/>
    <w:rsid w:val="7428006B"/>
    <w:rsid w:val="753B2A97"/>
    <w:rsid w:val="758F617C"/>
    <w:rsid w:val="76741766"/>
    <w:rsid w:val="773DD397"/>
    <w:rsid w:val="77EF4FD5"/>
    <w:rsid w:val="78C14F33"/>
    <w:rsid w:val="7CB27C44"/>
    <w:rsid w:val="7DCB394B"/>
    <w:rsid w:val="7E47317A"/>
    <w:rsid w:val="7F7FF514"/>
    <w:rsid w:val="7FBEA9CB"/>
    <w:rsid w:val="9FF6EBE3"/>
    <w:rsid w:val="B7B719FA"/>
    <w:rsid w:val="BD8BB6B3"/>
    <w:rsid w:val="BEF77B82"/>
    <w:rsid w:val="BF9D4D15"/>
    <w:rsid w:val="CB4D1783"/>
    <w:rsid w:val="CFBBDA92"/>
    <w:rsid w:val="FBFF1F8E"/>
    <w:rsid w:val="FED79344"/>
    <w:rsid w:val="FEF684E1"/>
    <w:rsid w:val="FF17A4B1"/>
    <w:rsid w:val="FFFF1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99" w:semiHidden="0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qFormat="1"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20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3"/>
    <w:link w:val="32"/>
    <w:qFormat/>
    <w:uiPriority w:val="0"/>
    <w:pPr>
      <w:keepNext/>
      <w:keepLines/>
      <w:pageBreakBefore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2"/>
    <w:basedOn w:val="2"/>
    <w:next w:val="3"/>
    <w:link w:val="33"/>
    <w:unhideWhenUsed/>
    <w:qFormat/>
    <w:uiPriority w:val="0"/>
    <w:pPr>
      <w:numPr>
        <w:ilvl w:val="1"/>
      </w:numPr>
      <w:spacing w:before="260" w:after="260" w:line="416" w:lineRule="auto"/>
      <w:outlineLvl w:val="1"/>
    </w:pPr>
    <w:rPr>
      <w:rFonts w:cstheme="majorBidi"/>
      <w:sz w:val="32"/>
      <w:szCs w:val="32"/>
    </w:rPr>
  </w:style>
  <w:style w:type="paragraph" w:styleId="5">
    <w:name w:val="heading 3"/>
    <w:basedOn w:val="1"/>
    <w:next w:val="1"/>
    <w:link w:val="34"/>
    <w:unhideWhenUsed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0"/>
      <w:szCs w:val="32"/>
    </w:rPr>
  </w:style>
  <w:style w:type="paragraph" w:styleId="6">
    <w:name w:val="heading 4"/>
    <w:basedOn w:val="1"/>
    <w:next w:val="1"/>
    <w:link w:val="35"/>
    <w:unhideWhenUsed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cstheme="majorBidi"/>
      <w:b/>
      <w:bCs/>
      <w:sz w:val="28"/>
      <w:szCs w:val="28"/>
    </w:rPr>
  </w:style>
  <w:style w:type="paragraph" w:styleId="7">
    <w:name w:val="heading 5"/>
    <w:basedOn w:val="1"/>
    <w:next w:val="1"/>
    <w:link w:val="36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37"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cstheme="majorBidi"/>
      <w:b/>
      <w:bCs/>
      <w:sz w:val="24"/>
      <w:szCs w:val="24"/>
    </w:rPr>
  </w:style>
  <w:style w:type="paragraph" w:styleId="9">
    <w:name w:val="heading 7"/>
    <w:basedOn w:val="1"/>
    <w:next w:val="1"/>
    <w:link w:val="38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10">
    <w:name w:val="heading 8"/>
    <w:basedOn w:val="1"/>
    <w:next w:val="1"/>
    <w:link w:val="39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1">
    <w:name w:val="heading 9"/>
    <w:basedOn w:val="1"/>
    <w:next w:val="1"/>
    <w:link w:val="40"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23">
    <w:name w:val="Default Paragraph Font"/>
    <w:semiHidden/>
    <w:unhideWhenUsed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unhideWhenUsed/>
    <w:qFormat/>
    <w:uiPriority w:val="99"/>
    <w:pPr>
      <w:ind w:firstLine="200" w:firstLineChars="200"/>
    </w:pPr>
  </w:style>
  <w:style w:type="paragraph" w:styleId="12">
    <w:name w:val="annotation text"/>
    <w:basedOn w:val="1"/>
    <w:link w:val="63"/>
    <w:semiHidden/>
    <w:unhideWhenUsed/>
    <w:qFormat/>
    <w:uiPriority w:val="99"/>
    <w:pPr>
      <w:jc w:val="left"/>
    </w:pPr>
  </w:style>
  <w:style w:type="paragraph" w:styleId="13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4">
    <w:name w:val="Balloon Text"/>
    <w:basedOn w:val="1"/>
    <w:link w:val="51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5">
    <w:name w:val="footer"/>
    <w:basedOn w:val="1"/>
    <w:link w:val="2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link w:val="2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toc 1"/>
    <w:basedOn w:val="1"/>
    <w:next w:val="1"/>
    <w:unhideWhenUsed/>
    <w:qFormat/>
    <w:uiPriority w:val="39"/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annotation subject"/>
    <w:basedOn w:val="12"/>
    <w:next w:val="12"/>
    <w:link w:val="64"/>
    <w:semiHidden/>
    <w:unhideWhenUsed/>
    <w:qFormat/>
    <w:uiPriority w:val="99"/>
    <w:rPr>
      <w:b/>
      <w:bCs/>
    </w:rPr>
  </w:style>
  <w:style w:type="table" w:styleId="21">
    <w:name w:val="Table Grid"/>
    <w:basedOn w:val="2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2">
    <w:name w:val="Table Professional"/>
    <w:basedOn w:val="20"/>
    <w:semiHidden/>
    <w:unhideWhenUsed/>
    <w:qFormat/>
    <w:uiPriority w:val="99"/>
    <w:pPr>
      <w:widowControl w:val="0"/>
      <w:spacing w:line="360" w:lineRule="auto"/>
      <w:ind w:firstLine="42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styleId="24">
    <w:name w:val="FollowedHyperlink"/>
    <w:basedOn w:val="23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25">
    <w:name w:val="Hyperlink"/>
    <w:basedOn w:val="2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6">
    <w:name w:val="annotation reference"/>
    <w:basedOn w:val="23"/>
    <w:semiHidden/>
    <w:unhideWhenUsed/>
    <w:qFormat/>
    <w:uiPriority w:val="99"/>
    <w:rPr>
      <w:sz w:val="21"/>
      <w:szCs w:val="21"/>
    </w:rPr>
  </w:style>
  <w:style w:type="character" w:customStyle="1" w:styleId="27">
    <w:name w:val="页眉 字符"/>
    <w:basedOn w:val="23"/>
    <w:link w:val="16"/>
    <w:qFormat/>
    <w:uiPriority w:val="99"/>
    <w:rPr>
      <w:sz w:val="18"/>
      <w:szCs w:val="18"/>
    </w:rPr>
  </w:style>
  <w:style w:type="character" w:customStyle="1" w:styleId="28">
    <w:name w:val="页脚 字符"/>
    <w:basedOn w:val="23"/>
    <w:link w:val="15"/>
    <w:qFormat/>
    <w:uiPriority w:val="99"/>
    <w:rPr>
      <w:sz w:val="18"/>
      <w:szCs w:val="18"/>
    </w:rPr>
  </w:style>
  <w:style w:type="paragraph" w:customStyle="1" w:styleId="29">
    <w:name w:val="页面标题"/>
    <w:basedOn w:val="1"/>
    <w:next w:val="1"/>
    <w:qFormat/>
    <w:uiPriority w:val="0"/>
    <w:pPr>
      <w:widowControl/>
      <w:ind w:firstLine="0"/>
      <w:jc w:val="center"/>
    </w:pPr>
    <w:rPr>
      <w:rFonts w:ascii="宋体" w:hAnsi="宋体" w:cs="宋体"/>
      <w:b/>
      <w:bCs/>
      <w:kern w:val="0"/>
      <w:sz w:val="44"/>
      <w:szCs w:val="44"/>
    </w:rPr>
  </w:style>
  <w:style w:type="paragraph" w:customStyle="1" w:styleId="30">
    <w:name w:val="表头"/>
    <w:basedOn w:val="1"/>
    <w:qFormat/>
    <w:uiPriority w:val="0"/>
    <w:pPr>
      <w:widowControl/>
      <w:spacing w:line="320" w:lineRule="exact"/>
      <w:jc w:val="center"/>
    </w:pPr>
    <w:rPr>
      <w:rFonts w:cs="Times New Roman"/>
      <w:b/>
      <w:bCs/>
      <w:snapToGrid w:val="0"/>
      <w:color w:val="FFFFFF" w:themeColor="background1"/>
      <w:kern w:val="0"/>
      <w:szCs w:val="18"/>
      <w14:textFill>
        <w14:solidFill>
          <w14:schemeClr w14:val="bg1"/>
        </w14:solidFill>
      </w14:textFill>
    </w:rPr>
  </w:style>
  <w:style w:type="paragraph" w:customStyle="1" w:styleId="31">
    <w:name w:val="表内容"/>
    <w:basedOn w:val="1"/>
    <w:qFormat/>
    <w:uiPriority w:val="0"/>
    <w:pPr>
      <w:widowControl/>
      <w:spacing w:line="240" w:lineRule="auto"/>
      <w:ind w:firstLine="0"/>
      <w:jc w:val="left"/>
    </w:pPr>
    <w:rPr>
      <w:rFonts w:cs="Times New Roman"/>
      <w:snapToGrid w:val="0"/>
      <w:kern w:val="0"/>
      <w:szCs w:val="24"/>
    </w:rPr>
  </w:style>
  <w:style w:type="character" w:customStyle="1" w:styleId="32">
    <w:name w:val="标题 1 字符"/>
    <w:basedOn w:val="23"/>
    <w:link w:val="2"/>
    <w:qFormat/>
    <w:uiPriority w:val="0"/>
    <w:rPr>
      <w:rFonts w:ascii="Times New Roman" w:hAnsi="Times New Roman" w:eastAsia="宋体"/>
      <w:b/>
      <w:bCs/>
      <w:kern w:val="44"/>
      <w:sz w:val="44"/>
      <w:szCs w:val="44"/>
    </w:rPr>
  </w:style>
  <w:style w:type="character" w:customStyle="1" w:styleId="33">
    <w:name w:val="标题 2 字符"/>
    <w:basedOn w:val="23"/>
    <w:link w:val="4"/>
    <w:qFormat/>
    <w:uiPriority w:val="0"/>
    <w:rPr>
      <w:rFonts w:ascii="Times New Roman" w:hAnsi="Times New Roman" w:eastAsia="宋体" w:cstheme="majorBidi"/>
      <w:b/>
      <w:bCs/>
      <w:sz w:val="32"/>
      <w:szCs w:val="32"/>
    </w:rPr>
  </w:style>
  <w:style w:type="character" w:customStyle="1" w:styleId="34">
    <w:name w:val="标题 3 字符"/>
    <w:basedOn w:val="23"/>
    <w:link w:val="5"/>
    <w:qFormat/>
    <w:uiPriority w:val="9"/>
    <w:rPr>
      <w:rFonts w:eastAsia="宋体"/>
      <w:b/>
      <w:bCs/>
      <w:sz w:val="30"/>
      <w:szCs w:val="32"/>
    </w:rPr>
  </w:style>
  <w:style w:type="character" w:customStyle="1" w:styleId="35">
    <w:name w:val="标题 4 字符"/>
    <w:basedOn w:val="23"/>
    <w:link w:val="6"/>
    <w:qFormat/>
    <w:uiPriority w:val="0"/>
    <w:rPr>
      <w:rFonts w:ascii="Times New Roman" w:hAnsi="Times New Roman" w:eastAsia="宋体" w:cstheme="majorBidi"/>
      <w:b/>
      <w:bCs/>
      <w:sz w:val="28"/>
      <w:szCs w:val="28"/>
    </w:rPr>
  </w:style>
  <w:style w:type="character" w:customStyle="1" w:styleId="36">
    <w:name w:val="标题 5 字符"/>
    <w:basedOn w:val="23"/>
    <w:link w:val="7"/>
    <w:qFormat/>
    <w:uiPriority w:val="9"/>
    <w:rPr>
      <w:rFonts w:eastAsia="宋体"/>
      <w:b/>
      <w:bCs/>
      <w:sz w:val="28"/>
      <w:szCs w:val="28"/>
    </w:rPr>
  </w:style>
  <w:style w:type="character" w:customStyle="1" w:styleId="37">
    <w:name w:val="标题 6 字符"/>
    <w:basedOn w:val="23"/>
    <w:link w:val="8"/>
    <w:qFormat/>
    <w:uiPriority w:val="9"/>
    <w:rPr>
      <w:rFonts w:eastAsia="宋体" w:asciiTheme="majorHAnsi" w:hAnsiTheme="majorHAnsi" w:cstheme="majorBidi"/>
      <w:b/>
      <w:bCs/>
      <w:sz w:val="24"/>
      <w:szCs w:val="24"/>
    </w:rPr>
  </w:style>
  <w:style w:type="character" w:customStyle="1" w:styleId="38">
    <w:name w:val="标题 7 字符"/>
    <w:basedOn w:val="23"/>
    <w:link w:val="9"/>
    <w:semiHidden/>
    <w:qFormat/>
    <w:uiPriority w:val="9"/>
    <w:rPr>
      <w:b/>
      <w:bCs/>
      <w:sz w:val="24"/>
      <w:szCs w:val="24"/>
    </w:rPr>
  </w:style>
  <w:style w:type="character" w:customStyle="1" w:styleId="39">
    <w:name w:val="标题 8 字符"/>
    <w:basedOn w:val="23"/>
    <w:link w:val="10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40">
    <w:name w:val="标题 9 字符"/>
    <w:basedOn w:val="23"/>
    <w:link w:val="11"/>
    <w:qFormat/>
    <w:uiPriority w:val="9"/>
    <w:rPr>
      <w:rFonts w:asciiTheme="majorHAnsi" w:hAnsiTheme="majorHAnsi" w:eastAsiaTheme="majorEastAsia" w:cstheme="majorBidi"/>
      <w:szCs w:val="21"/>
    </w:rPr>
  </w:style>
  <w:style w:type="paragraph" w:styleId="41">
    <w:name w:val="List Paragraph"/>
    <w:basedOn w:val="1"/>
    <w:qFormat/>
    <w:uiPriority w:val="34"/>
    <w:pPr>
      <w:ind w:firstLine="200" w:firstLineChars="200"/>
    </w:pPr>
  </w:style>
  <w:style w:type="character" w:customStyle="1" w:styleId="42">
    <w:name w:val="菜单命令"/>
    <w:qFormat/>
    <w:uiPriority w:val="0"/>
    <w:rPr>
      <w:rFonts w:ascii="Times New Roman" w:hAnsi="Times New Roman" w:eastAsia="宋体"/>
      <w:b/>
      <w:bCs/>
      <w:sz w:val="21"/>
      <w:szCs w:val="21"/>
    </w:rPr>
  </w:style>
  <w:style w:type="paragraph" w:customStyle="1" w:styleId="43">
    <w:name w:val="项目列举2级"/>
    <w:basedOn w:val="1"/>
    <w:qFormat/>
    <w:uiPriority w:val="0"/>
    <w:pPr>
      <w:widowControl/>
      <w:numPr>
        <w:ilvl w:val="0"/>
        <w:numId w:val="2"/>
      </w:numPr>
      <w:jc w:val="left"/>
    </w:pPr>
    <w:rPr>
      <w:rFonts w:cs="宋体"/>
      <w:kern w:val="0"/>
      <w:szCs w:val="21"/>
    </w:rPr>
  </w:style>
  <w:style w:type="character" w:customStyle="1" w:styleId="44">
    <w:name w:val="命令参数"/>
    <w:qFormat/>
    <w:uiPriority w:val="0"/>
    <w:rPr>
      <w:rFonts w:ascii="Times New Roman" w:hAnsi="Times New Roman" w:eastAsia="宋体"/>
      <w:sz w:val="21"/>
      <w:szCs w:val="21"/>
    </w:rPr>
  </w:style>
  <w:style w:type="character" w:customStyle="1" w:styleId="45">
    <w:name w:val="命令参数斜体"/>
    <w:qFormat/>
    <w:uiPriority w:val="0"/>
    <w:rPr>
      <w:rFonts w:ascii="Times New Roman" w:hAnsi="Times New Roman" w:eastAsia="宋体"/>
      <w:i/>
      <w:sz w:val="21"/>
    </w:rPr>
  </w:style>
  <w:style w:type="character" w:customStyle="1" w:styleId="46">
    <w:name w:val="命令名和动作"/>
    <w:qFormat/>
    <w:uiPriority w:val="0"/>
    <w:rPr>
      <w:rFonts w:ascii="Times New Roman" w:hAnsi="Times New Roman" w:eastAsia="黑体"/>
      <w:b/>
      <w:sz w:val="21"/>
      <w:szCs w:val="21"/>
    </w:rPr>
  </w:style>
  <w:style w:type="paragraph" w:customStyle="1" w:styleId="47">
    <w:name w:val="章节项目"/>
    <w:basedOn w:val="1"/>
    <w:qFormat/>
    <w:uiPriority w:val="0"/>
    <w:pPr>
      <w:widowControl/>
      <w:numPr>
        <w:ilvl w:val="0"/>
        <w:numId w:val="3"/>
      </w:numPr>
      <w:jc w:val="left"/>
    </w:pPr>
    <w:rPr>
      <w:rFonts w:cs="宋体"/>
      <w:kern w:val="0"/>
      <w:szCs w:val="21"/>
    </w:rPr>
  </w:style>
  <w:style w:type="paragraph" w:customStyle="1" w:styleId="48">
    <w:name w:val="步骤下图片"/>
    <w:basedOn w:val="1"/>
    <w:qFormat/>
    <w:uiPriority w:val="0"/>
    <w:pPr>
      <w:ind w:left="1276" w:firstLine="0"/>
    </w:pPr>
  </w:style>
  <w:style w:type="paragraph" w:customStyle="1" w:styleId="49">
    <w:name w:val="代码示例"/>
    <w:basedOn w:val="1"/>
    <w:link w:val="50"/>
    <w:qFormat/>
    <w:uiPriority w:val="0"/>
    <w:pPr>
      <w:spacing w:line="240" w:lineRule="auto"/>
      <w:ind w:firstLine="0"/>
    </w:pPr>
    <w:rPr>
      <w:rFonts w:ascii="Courier New" w:hAnsi="Courier New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0">
    <w:name w:val="代码示例 Char"/>
    <w:basedOn w:val="23"/>
    <w:link w:val="49"/>
    <w:qFormat/>
    <w:uiPriority w:val="0"/>
    <w:rPr>
      <w:rFonts w:ascii="Courier New" w:hAnsi="Courier New" w:eastAsia="宋体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1">
    <w:name w:val="批注框文本 字符"/>
    <w:basedOn w:val="23"/>
    <w:link w:val="14"/>
    <w:semiHidden/>
    <w:qFormat/>
    <w:uiPriority w:val="99"/>
    <w:rPr>
      <w:rFonts w:eastAsia="宋体"/>
      <w:sz w:val="18"/>
      <w:szCs w:val="18"/>
    </w:rPr>
  </w:style>
  <w:style w:type="paragraph" w:customStyle="1" w:styleId="52">
    <w:name w:val="1级无序号"/>
    <w:basedOn w:val="2"/>
    <w:next w:val="1"/>
    <w:qFormat/>
    <w:uiPriority w:val="0"/>
    <w:pPr>
      <w:numPr>
        <w:numId w:val="0"/>
      </w:numPr>
    </w:pPr>
  </w:style>
  <w:style w:type="paragraph" w:customStyle="1" w:styleId="53">
    <w:name w:val="2级无序号"/>
    <w:basedOn w:val="4"/>
    <w:next w:val="1"/>
    <w:qFormat/>
    <w:uiPriority w:val="0"/>
    <w:pPr>
      <w:numPr>
        <w:ilvl w:val="0"/>
        <w:numId w:val="0"/>
      </w:numPr>
    </w:pPr>
  </w:style>
  <w:style w:type="paragraph" w:customStyle="1" w:styleId="54">
    <w:name w:val="TOC 标题1"/>
    <w:basedOn w:val="2"/>
    <w:next w:val="1"/>
    <w:unhideWhenUsed/>
    <w:qFormat/>
    <w:uiPriority w:val="39"/>
    <w:pPr>
      <w:numPr>
        <w:numId w:val="0"/>
      </w:numPr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paragraph" w:customStyle="1" w:styleId="55">
    <w:name w:val="引导语（仅适用于制作模板）"/>
    <w:basedOn w:val="1"/>
    <w:qFormat/>
    <w:uiPriority w:val="0"/>
    <w:pPr>
      <w:ind w:firstLine="200" w:firstLineChars="200"/>
    </w:pPr>
    <w:rPr>
      <w:i/>
      <w:color w:val="7F7F7F" w:themeColor="background1" w:themeShade="80"/>
    </w:rPr>
  </w:style>
  <w:style w:type="table" w:customStyle="1" w:styleId="56">
    <w:name w:val="Table"/>
    <w:basedOn w:val="22"/>
    <w:qFormat/>
    <w:uiPriority w:val="0"/>
    <w:pPr>
      <w:spacing w:line="240" w:lineRule="auto"/>
      <w:ind w:firstLine="0"/>
      <w:jc w:val="left"/>
    </w:pPr>
    <w:rPr>
      <w:rFonts w:ascii="Times New Roman" w:hAnsi="Times New Roman" w:eastAsia="宋体" w:cs="Arial"/>
    </w:rPr>
    <w:tblPr/>
    <w:trPr>
      <w:cantSplit/>
    </w:trPr>
    <w:tcPr>
      <w:shd w:val="clear" w:color="auto" w:fill="auto"/>
    </w:tcPr>
    <w:tblStylePr w:type="firstRow">
      <w:rPr>
        <w:b w:val="0"/>
        <w:bCs w:val="0"/>
        <w:i w:val="0"/>
        <w:iCs w:val="0"/>
        <w:color w:val="auto"/>
        <w:sz w:val="20"/>
        <w:szCs w:val="20"/>
      </w:rPr>
      <w:tcPr>
        <w:tc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sz="6" w:space="0"/>
          <w:insideV w:val="single" w:sz="6" w:space="0"/>
          <w:tl2br w:val="nil"/>
          <w:tr2bl w:val="nil"/>
        </w:tcBorders>
        <w:shd w:val="clear" w:color="auto" w:fill="D9D9D9"/>
      </w:tcPr>
    </w:tblStylePr>
  </w:style>
  <w:style w:type="paragraph" w:customStyle="1" w:styleId="57">
    <w:name w:val="Step"/>
    <w:qFormat/>
    <w:uiPriority w:val="0"/>
    <w:pPr>
      <w:numPr>
        <w:ilvl w:val="0"/>
        <w:numId w:val="4"/>
      </w:numPr>
      <w:tabs>
        <w:tab w:val="left" w:pos="1701"/>
      </w:tabs>
      <w:topLinePunct/>
      <w:spacing w:line="360" w:lineRule="auto"/>
    </w:pPr>
    <w:rPr>
      <w:rFonts w:ascii="Times New Roman" w:hAnsi="Times New Roman" w:eastAsia="宋体" w:cstheme="minorBidi"/>
      <w:snapToGrid w:val="0"/>
      <w:sz w:val="21"/>
      <w:szCs w:val="22"/>
      <w:lang w:val="en-US" w:eastAsia="zh-CN" w:bidi="ar-SA"/>
    </w:rPr>
  </w:style>
  <w:style w:type="paragraph" w:customStyle="1" w:styleId="58">
    <w:name w:val="标题五"/>
    <w:basedOn w:val="1"/>
    <w:next w:val="1"/>
    <w:qFormat/>
    <w:uiPriority w:val="0"/>
    <w:pPr>
      <w:spacing w:before="200" w:after="200" w:line="240" w:lineRule="auto"/>
      <w:ind w:firstLine="0"/>
      <w:outlineLvl w:val="4"/>
    </w:pPr>
    <w:rPr>
      <w:b/>
      <w:sz w:val="24"/>
    </w:rPr>
  </w:style>
  <w:style w:type="paragraph" w:customStyle="1" w:styleId="59">
    <w:name w:val="正文下图片"/>
    <w:basedOn w:val="1"/>
    <w:next w:val="1"/>
    <w:qFormat/>
    <w:uiPriority w:val="0"/>
    <w:pPr>
      <w:ind w:left="420" w:firstLine="0"/>
    </w:pPr>
    <w:rPr>
      <w:color w:val="FF0000"/>
    </w:rPr>
  </w:style>
  <w:style w:type="paragraph" w:customStyle="1" w:styleId="60">
    <w:name w:val="项目列举1级"/>
    <w:qFormat/>
    <w:uiPriority w:val="0"/>
    <w:pPr>
      <w:numPr>
        <w:ilvl w:val="0"/>
        <w:numId w:val="5"/>
      </w:numPr>
      <w:spacing w:before="50" w:beforeLines="50" w:after="50" w:afterLines="50"/>
      <w:ind w:left="834" w:hanging="414"/>
      <w:jc w:val="both"/>
    </w:pPr>
    <w:rPr>
      <w:rFonts w:ascii="Times New Roman" w:hAnsi="Times New Roman" w:eastAsia="宋体" w:cstheme="minorBidi"/>
      <w:b/>
      <w:kern w:val="2"/>
      <w:sz w:val="24"/>
      <w:szCs w:val="22"/>
      <w:lang w:val="en-US" w:eastAsia="zh-CN" w:bidi="ar-SA"/>
    </w:rPr>
  </w:style>
  <w:style w:type="paragraph" w:customStyle="1" w:styleId="61">
    <w:name w:val="项目列举下图片"/>
    <w:basedOn w:val="1"/>
    <w:qFormat/>
    <w:uiPriority w:val="0"/>
    <w:pPr>
      <w:ind w:left="868" w:firstLine="0"/>
    </w:pPr>
    <w:rPr>
      <w:color w:val="FF0000"/>
    </w:rPr>
  </w:style>
  <w:style w:type="paragraph" w:customStyle="1" w:styleId="62">
    <w:name w:val="提示说明"/>
    <w:qFormat/>
    <w:uiPriority w:val="0"/>
    <w:rPr>
      <w:rFonts w:ascii="Times New Roman" w:hAnsi="Times New Roman" w:eastAsia="宋体" w:cstheme="minorBidi"/>
      <w:kern w:val="2"/>
      <w:sz w:val="18"/>
      <w:szCs w:val="22"/>
      <w:lang w:val="en-US" w:eastAsia="zh-CN" w:bidi="ar-SA"/>
    </w:rPr>
  </w:style>
  <w:style w:type="character" w:customStyle="1" w:styleId="63">
    <w:name w:val="批注文字 字符"/>
    <w:basedOn w:val="23"/>
    <w:link w:val="12"/>
    <w:semiHidden/>
    <w:qFormat/>
    <w:uiPriority w:val="99"/>
    <w:rPr>
      <w:rFonts w:ascii="Times New Roman" w:hAnsi="Times New Roman" w:eastAsia="宋体"/>
    </w:rPr>
  </w:style>
  <w:style w:type="character" w:customStyle="1" w:styleId="64">
    <w:name w:val="批注主题 字符"/>
    <w:basedOn w:val="63"/>
    <w:link w:val="19"/>
    <w:semiHidden/>
    <w:qFormat/>
    <w:uiPriority w:val="99"/>
    <w:rPr>
      <w:rFonts w:ascii="Times New Roman" w:hAnsi="Times New Roman" w:eastAsia="宋体"/>
      <w:b/>
      <w:bCs/>
    </w:rPr>
  </w:style>
  <w:style w:type="paragraph" w:customStyle="1" w:styleId="65">
    <w:name w:val="附录"/>
    <w:basedOn w:val="52"/>
    <w:next w:val="1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360政企</Company>
  <Pages>23</Pages>
  <Words>804</Words>
  <Characters>836</Characters>
  <Lines>6</Lines>
  <Paragraphs>1</Paragraphs>
  <TotalTime>6</TotalTime>
  <ScaleCrop>false</ScaleCrop>
  <LinksUpToDate>false</LinksUpToDate>
  <CharactersWithSpaces>841</CharactersWithSpaces>
  <Application>WPS Office_6.6.1.8808_F1E327BC-269C-435d-A152-05C5408002CA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2023-05-25T16:44:00Z</dcterms:created>
  <dc:creator>liguihai</dc:creator>
  <cp:lastModifiedBy>Wayne_H</cp:lastModifiedBy>
  <cp:lastPrinted>2020-04-30T17:33:00Z</cp:lastPrinted>
  <dcterms:modified xsi:type="dcterms:W3CDTF">2026-02-27T11:08:59Z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2052-6.6.1.8808</vt:lpwstr>
  </property>
  <property fmtid="{D5CDD505-2E9C-101B-9397-08002B2CF9AE}" pid="3" name="ICV">
    <vt:lpwstr>F4DF97B130D04BE79D2D885DCEF7FCFA_12</vt:lpwstr>
  </property>
</Properties>
</file>