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  <w:r>
        <w:rPr>
          <w:rFonts w:ascii="宋体" w:hAnsi="宋体" w:eastAsia="宋体"/>
          <w:b/>
          <w:sz w:val="44"/>
        </w:rPr>
        <w:t>文献精读报告：Electrocatalytic Oxygen Evolution Reaction in Acidic Environments – Reaction Mechanisms and Catalysts（酸性环境中电催化析氧反应：反应机制与催化剂）</w:t>
      </w:r>
    </w:p>
    <w:p/>
    <w:p/>
    <w:p/>
    <w:p/>
    <w:p/>
    <w:p/>
    <w:p/>
    <w:p/>
    <w:p/>
    <w:p/>
    <w:p/>
    <w:p/>
    <w:p/>
    <w:p/>
    <w:p>
      <w:pPr>
        <w:jc w:val="center"/>
      </w:pPr>
      <w:r>
        <w:rPr>
          <w:rFonts w:ascii="宋体" w:hAnsi="宋体" w:eastAsia="宋体"/>
          <w:sz w:val="24"/>
        </w:rPr>
        <w:t>编制日期：2026年09月09日</w:t>
      </w:r>
    </w:p>
    <w:p/>
    <w:p>
      <w:r>
        <w:br w:type="page"/>
      </w:r>
    </w:p>
    <w:p>
      <w:pPr>
        <w:spacing w:before="120" w:after="120"/>
        <w:ind w:left="567" w:right="567"/>
        <w:pBdr>
          <w:left w:val="single" w:sz="12" w:color="6366F1"/>
        </w:pBdr>
      </w:pPr>
      <w:r>
        <w:rPr>
          <w:rFonts w:ascii="Times New Roman" w:hAnsi="Times New Roman" w:eastAsia="宋体"/>
          <w:b/>
          <w:sz w:val="24"/>
        </w:rPr>
        <w:t>元信息</w:t>
      </w:r>
      <w:r>
        <w:rPr>
          <w:rFonts w:ascii="Times New Roman" w:hAnsi="Times New Roman" w:eastAsia="宋体"/>
          <w:b w:val="0"/>
          <w:sz w:val="24"/>
        </w:rPr>
        <w:t>：Tobias Reier、Hong Nhan Nong、Detre Teschner、Robert Schlögl、Peter Strasser\</w:t>
      </w:r>
      <w:r>
        <w:rPr>
          <w:rFonts w:ascii="Times New Roman" w:hAnsi="Times New Roman" w:eastAsia="宋体"/>
          <w:b w:val="0"/>
          <w:i/>
          <w:sz w:val="24"/>
        </w:rPr>
        <w:t>（柏林工业大学电化学能源催化与材料科学实验室 / 马普 Fritz-Haber 研究所；\</w:t>
      </w:r>
      <w:r>
        <w:rPr>
          <w:rFonts w:ascii="Times New Roman" w:hAnsi="Times New Roman" w:eastAsia="宋体"/>
          <w:b w:val="0"/>
          <w:sz w:val="24"/>
        </w:rPr>
        <w:t>通讯作者）｜</w:t>
      </w:r>
      <w:r>
        <w:rPr>
          <w:rFonts w:ascii="Times New Roman" w:hAnsi="Times New Roman" w:eastAsia="宋体"/>
          <w:b w:val="0"/>
          <w:i/>
          <w:sz w:val="24"/>
        </w:rPr>
        <w:t>Advanced Energy Materials</w:t>
      </w:r>
      <w:r>
        <w:rPr>
          <w:rFonts w:ascii="Times New Roman" w:hAnsi="Times New Roman" w:eastAsia="宋体"/>
          <w:b w:val="0"/>
          <w:sz w:val="24"/>
        </w:rPr>
        <w:t xml:space="preserve"> 2017, 7, 1601275（Wiley-VCH）｜DOI: 10.1002/aenm.201601275（PDF p.1）｜精读日期 2026-09-09</w:t>
      </w:r>
    </w:p>
    <w:p>
      <w:pPr>
        <w:spacing w:before="120" w:after="120"/>
        <w:ind w:left="567" w:right="567"/>
        <w:pBdr>
          <w:left w:val="single" w:sz="12" w:color="6366F1"/>
        </w:pBdr>
      </w:pPr>
      <w:r>
        <w:rPr>
          <w:rFonts w:ascii="Times New Roman" w:hAnsi="Times New Roman" w:eastAsia="宋体"/>
          <w:b w:val="0"/>
          <w:sz w:val="24"/>
        </w:rPr>
        <w:t>证据分级：R0=原文事实（附页码锚点）｜R1=外部背景｜R2=推断</w:t>
      </w:r>
    </w:p>
    <w:p/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1. 文献速览总结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本文是酸性 OER 领域权威综述（Strasser 组，2016-10 在线发表、2017 年卷），回答三个问题：酸性 OER 走什么机理？哪些材料能在 PEM 阳极既活又稳？如何用最少 Ir/Ru？（R0，p.1）。核心结论：① 酸性异相 OER 机理至今无统一定论——经典动力学与热力学（DFT）模型各有局限、均未获实验完全验证；均相催化剂机理研究深入得多，可为异相研究提供起点（R0，p.3-7）。② 原位/工况研究（同位素 DEMS、XANES、NAP-XPS、SERS/FT-IR）表明氧化物直接参与 OER 且表面动态重构；Ru、Au 有直接偶联（direct coupling）证据，Ir 氧化物证据不足（R0，p.7-9）。③ 单金属活性序 Ru&gt;Ir&gt;Rh&gt;Pt&gt;Au，稳定性序 Pt&gt;Rh&gt;Ir&gt;Au≥Ru，两者并非简单反相关；热制氧化物比电化学氧化物稳定 2–3 个数量级；非晶/富羟基氧化物活性高但稳定性低（R0，p.9-10）。④ 降铱路线：混合氧化物（IrNi 使 Ir 质量活性提升约 20 倍）、纳米分散、导电耐蚀载体（ATO/ITO）+ 提高本征活性（R0，p.11-14）。⑤ 中期 Ir 仍是 PEM 阳极不可替代的活性金属，无贵金属阳极尚不存在；出路在"原子效率"（R0，p.14）。</w:t>
      </w: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2. 课题关联分析（与课题65 的直接关联）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1. </w:t>
      </w:r>
      <w:r>
        <w:rPr>
          <w:rFonts w:ascii="Times New Roman" w:hAnsi="Times New Roman" w:eastAsia="宋体"/>
          <w:b/>
          <w:sz w:val="24"/>
        </w:rPr>
        <w:t>机理背景的直接补课（R2）</w:t>
      </w:r>
      <w:r>
        <w:rPr>
          <w:rFonts w:ascii="Times New Roman" w:hAnsi="Times New Roman" w:eastAsia="宋体"/>
          <w:b w:val="0"/>
          <w:sz w:val="24"/>
        </w:rPr>
        <w:t>：课题65 学生已掌握 OER 总机理，但本综述补的是"酸性环境 + Ir 基材料"特有知识：AEM 四步基元与线性标度关系为什么把 η 锁在 ~0.3–0.4 V 以上（p.4）；如何用掺杂/第二金属/ONB 打破标度（p.4）；LOM/晶格氧参与的历史证据链（p.7-9）。这对理解 Yang 2025（硫掺杂触发 LOM）是必要前件——两篇构成"官方</w:t>
      </w:r>
      <w:r>
        <w:rPr>
          <w:rFonts w:ascii="Times New Roman" w:hAnsi="Times New Roman" w:eastAsia="宋体"/>
          <w:b w:val="0"/>
          <w:sz w:val="24"/>
        </w:rPr>
        <w:t>[</w:t>
      </w:r>
      <w:r>
        <w:rPr>
          <w:rFonts w:ascii="Times New Roman" w:hAnsi="Times New Roman" w:eastAsia="宋体"/>
          <w:b w:val="0"/>
          <w:sz w:val="24"/>
        </w:rPr>
        <w:t>2]综述 → 官方</w:t>
      </w:r>
      <w:r>
        <w:rPr>
          <w:rFonts w:ascii="Times New Roman" w:hAnsi="Times New Roman" w:eastAsia="宋体"/>
          <w:b w:val="0"/>
          <w:sz w:val="24"/>
        </w:rPr>
        <w:t>[</w:t>
      </w:r>
      <w:r>
        <w:rPr>
          <w:rFonts w:ascii="Times New Roman" w:hAnsi="Times New Roman" w:eastAsia="宋体"/>
          <w:b w:val="0"/>
          <w:sz w:val="24"/>
        </w:rPr>
        <w:t>2]前沿"的递进。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2. </w:t>
      </w:r>
      <w:r>
        <w:rPr>
          <w:rFonts w:ascii="Times New Roman" w:hAnsi="Times New Roman" w:eastAsia="宋体"/>
          <w:b/>
          <w:sz w:val="24"/>
        </w:rPr>
        <w:t>MnO₂ 载体的稳定性预警（R0+R2）</w:t>
      </w:r>
      <w:r>
        <w:rPr>
          <w:rFonts w:ascii="Times New Roman" w:hAnsi="Times New Roman" w:eastAsia="宋体"/>
          <w:b w:val="0"/>
          <w:sz w:val="24"/>
        </w:rPr>
        <w:t>：综述明确 MnO₂"在酸性环境中通常不够稳定"，Frydendal 等提出对 MnO₂ 近表面层掺 Ti 来稳定（p.12）——课题65 以 MnO₂ 为 IrO₂ 载体，必须先回答"MnO₂ 在 0.5 M H₂SO₄ OER 条件下自身是否溶解、Mn²⁺ 是否污染膜/毒化电极"；IrO₂ 壳层是否足够包覆 MnO₂ 使其免于酸蚀是核心设计问题（R2）。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3. </w:t>
      </w:r>
      <w:r>
        <w:rPr>
          <w:rFonts w:ascii="Times New Roman" w:hAnsi="Times New Roman" w:eastAsia="宋体"/>
          <w:b/>
          <w:sz w:val="24"/>
        </w:rPr>
        <w:t>"温度决定活性-稳定性配比"的经典证据（R0，p.9-10）</w:t>
      </w:r>
      <w:r>
        <w:rPr>
          <w:rFonts w:ascii="Times New Roman" w:hAnsi="Times New Roman" w:eastAsia="宋体"/>
          <w:b w:val="0"/>
          <w:sz w:val="24"/>
        </w:rPr>
        <w:t>：Ir 氧化物随煅烧温度升高由 X 射线非晶、富 OH、易还原的高活性相转变为更稳定的晶态相；课题65 微波温度/时间与是否后处理退火将直接复现这一 trade-off（R2）。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4. </w:t>
      </w:r>
      <w:r>
        <w:rPr>
          <w:rFonts w:ascii="Times New Roman" w:hAnsi="Times New Roman" w:eastAsia="宋体"/>
          <w:b/>
          <w:sz w:val="24"/>
        </w:rPr>
        <w:t>稳定性评价的科学方法（R0，p.10）</w:t>
      </w:r>
      <w:r>
        <w:rPr>
          <w:rFonts w:ascii="Times New Roman" w:hAnsi="Times New Roman" w:eastAsia="宋体"/>
          <w:b w:val="0"/>
          <w:sz w:val="24"/>
        </w:rPr>
        <w:t>：Frydendal 指出"短期纯电化学测量无法评估长期稳定性，必须精确监测溶解（ICP-MS、石英微晶天平 QCM）"——这为课题65 的耐久性实验设计提供方法论（结合 Yang 篇的 S-number）。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5. </w:t>
      </w:r>
      <w:r>
        <w:rPr>
          <w:rFonts w:ascii="Times New Roman" w:hAnsi="Times New Roman" w:eastAsia="宋体"/>
          <w:b/>
          <w:sz w:val="24"/>
        </w:rPr>
        <w:t>文献对比纪律（R0，p.10-11）</w:t>
      </w:r>
      <w:r>
        <w:rPr>
          <w:rFonts w:ascii="Times New Roman" w:hAnsi="Times New Roman" w:eastAsia="宋体"/>
          <w:b w:val="0"/>
          <w:sz w:val="24"/>
        </w:rPr>
        <w:t>：Ru/Ir 氧化物性能对制备条件极敏感，用作参比材料须精挑细选并充分表征——课题65 用商业 IrO₂ 或自制 IrO₂ 作对照时应声明制备与晶化状态（R2）。</w:t>
      </w: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3. 内容深度解读（含关键数据）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3.1 机理认知的三条路径（R0，p.3-5）</w:t>
      </w:r>
      <w:r>
        <w:rPr>
          <w:rFonts w:ascii="Times New Roman" w:hAnsi="Times New Roman" w:eastAsia="宋体"/>
          <w:b w:val="0"/>
          <w:sz w:val="24"/>
        </w:rPr>
        <w:t>。① 动力学路径（Bockris 模型）：Tafel 斜率取决于决速步（rds）；RuO₂ 电氧化路径在两步间含 M─OH 化学重排，&lt;1.52 V 时重排为 rds、更高电位时首步为 rds。但同一 Tafel 斜率可由不同机理/不同 rds 得出，埋层半导体界面也会抬高 Tafel 斜率（Scheuermann），故其非机理指纹。② 热力学路径（Rossmeisl 系 DFT）：四步机理每步 ΔRGx≤0 才可行，需最高电位的步骤称"电位决定步"（pds），文中示例第 3 步需 1.60 V（整体平衡电位 E⁰=1.23 V）；隐含质子-电子耦合转移（CPET）假设，Nakagawa 发现 Ir 氧化物 OER 过电位与 pH 无关支持 CPET，但 CPET 与否取决于中间体结合强度。③ 机理家族二分法（p.5）：按 O─O 成键方式分"酸碱机制"（M=O 被水亲核进攻生成 M─OOH，类似 Eley-Rideal）与"直接偶联机制"（两个相邻 M=O 直接偶联，类似 Langmuir-Hinshelwood）；CoCat 有直接偶联证据，均相 Ru 通常走酸碱机制。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3.2 均相催化剂的启示（R0，p.6）</w:t>
      </w:r>
      <w:r>
        <w:rPr>
          <w:rFonts w:ascii="Times New Roman" w:hAnsi="Times New Roman" w:eastAsia="宋体"/>
          <w:b w:val="0"/>
          <w:sz w:val="24"/>
        </w:rPr>
        <w:t>：单金属位即可催化 OER（Ru/Ir/Fe/Co/Mn 络合物）；</w:t>
      </w:r>
      <w:r>
        <w:rPr>
          <w:rFonts w:ascii="Times New Roman" w:hAnsi="Times New Roman" w:eastAsia="宋体"/>
          <w:b w:val="0"/>
          <w:sz w:val="24"/>
        </w:rPr>
        <w:t>[</w:t>
      </w:r>
      <w:r>
        <w:rPr>
          <w:rFonts w:ascii="Times New Roman" w:hAnsi="Times New Roman" w:eastAsia="宋体"/>
          <w:b w:val="0"/>
          <w:sz w:val="24"/>
        </w:rPr>
        <w:t>Ruᴵᴵ(bpy)(tpy)H₂O]²⁺ 中给电子取代基提升活性；Ru 逐级氧化伴随配体水去质子化以避免高电荷中间体；蓝二聚体的 OER 不经相邻氧物种直接偶联，其 μ-氧桥不氧化为 O₂、只作质子受体——与金红石 (110) 表面桥位氧（bridging O）功能相似（p.4）。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3.3 异相催化剂的工况洞察（R0，p.7-9）</w:t>
      </w:r>
      <w:r>
        <w:rPr>
          <w:rFonts w:ascii="Times New Roman" w:hAnsi="Times New Roman" w:eastAsia="宋体"/>
          <w:b w:val="0"/>
          <w:sz w:val="24"/>
        </w:rPr>
        <w:t>。同位素 DEMS 汇总：Pt 证据矛盾（Willsau：Pt 氧化层不参与，只产 ¹⁶O¹⁶O；Churchill：部分氧来自氧化层）；Au 的氧化物膜在 H₂¹⁸O 中生成后转 H₂¹⁶O 测试，初期只产 ¹⁸O¹⁸O——氧化物分解型/直接偶联证据，且 Au 溶出活化能与 OER 相同（共同中间体），SERS 在 &gt;1.4 V_RHE 见 M─OOH 物种而 OER 约 2.0 V 才开始；电化学 Ru 氧化层直接参与并产 ¹⁸O¹⁸O（直接偶联），还检出腐蚀产物 RuO₄（m/z=165）；热制晶态 RuO₂ 低过电位时 O₂ 全来自水、高过电位才部分来自氧化物——机理随制备方法与电位而变。</w:t>
      </w:r>
      <w:r>
        <w:rPr>
          <w:rFonts w:ascii="Times New Roman" w:hAnsi="Times New Roman" w:eastAsia="宋体"/>
          <w:b/>
          <w:sz w:val="24"/>
        </w:rPr>
        <w:t>热制 IrO₂</w:t>
      </w:r>
      <w:r>
        <w:rPr>
          <w:rFonts w:ascii="Times New Roman" w:hAnsi="Times New Roman" w:eastAsia="宋体"/>
          <w:b w:val="0"/>
          <w:sz w:val="24"/>
        </w:rPr>
        <w:t xml:space="preserve"> 的同位素 DEMS 表明部分 O₂ 来自氧化层，但未区分"两个晶格氧偶联"还是"晶格氧+水"（p.8）。原位价态方面：Casalongue 的 AP-XPS 见 Ir(V) 表面物种，但 Pfeifer 等认为更可能是 Ir(III)；Minguzzi 的 XANES 提出 Ir(III)/Ir(V) 共存；然而 Ir(V) 参考化合物常缺失、边位置归属存疑（p.8）。Zhang 用 FT-IR 在 Ir 氧化物上瞬态检出 M─OOH（830 cm⁻¹），但电化学 IrOₓ 的 SERS 无此带，说明稳态 OER 下 M─OOH 并非大量存在（p.8）。作者总结：活性 OER 电极是"运行中剧烈动态重组"的电催化剂，单一技术只能窥其一角，需要多方法联用（p.9）。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3.4 单金属氧化物的活性-稳定性图谱（R0，p.9-11）</w:t>
      </w:r>
      <w:r>
        <w:rPr>
          <w:rFonts w:ascii="Times New Roman" w:hAnsi="Times New Roman" w:eastAsia="宋体"/>
          <w:b w:val="0"/>
          <w:sz w:val="24"/>
        </w:rPr>
        <w:t>。电化学氧化金属的活性序（5 mA·cm⁻² 几何电流过电位）Ru&gt;Ir&gt;Rh&gt;Pt&gt;Au；Os 活性最高但 ~95% 电流是腐蚀；稳定性序（Cherevko 扫描流动电解池-ICP-MS，0.1 M H₂SO₄、2 mV·s⁻¹、iR 校正）Pt&gt;Rh&gt;Ir&gt;Au≥Ru——Au 是"既不活又不稳"的反例，说明活性-稳定性并非严格反相关。热制 Ru/Ir 氧化物比电化学氧化物稳定 2–3 个数量级。Ir 氧化物活性-稳定性随煅烧温度此消彼长：低温（250/350 ℃）得 X 射线非晶、富 OH、易还原相，活性高于高温晶态相但稳定性差（350 ℃ 样品因晶态/非晶共存而格外不稳）；Ir 体相氧化物形成始于 0.7–1.1 V_RHE，恰与此电位区间 Ir 开始溶解对应。Pfeifer 发现非晶 IrOₓ 含 Ir(III) 与 O 2p 空穴态（形式上 O¹⁻），O¹⁻ 亲电性强、利于水亲核进攻（酸碱机制）。前驱体影响：氯化物前驱体（Adams 熔融、Pechini 法）易残留 Cl，Ir 醋酸盐/乙酰丙酮盐可避免。RuO₂ 活性存在 ~3–5 nm 粒径最优。表面取向（SrRuO₃：(001)&lt;(110)&lt;(111)，活性与稳定性相反；RuO₂/IrO₂ 的 (100) 比 (110) 活泼）与 Co₃O₄ 原位 XRD 揭示的近表面可逆重构共同支撑"活性相转化需要更低驱动力 → 非晶更活"的解释。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3.5 降铱材料策略（R0，p.11-14）</w:t>
      </w:r>
      <w:r>
        <w:rPr>
          <w:rFonts w:ascii="Times New Roman" w:hAnsi="Times New Roman" w:eastAsia="宋体"/>
          <w:b w:val="0"/>
          <w:sz w:val="24"/>
        </w:rPr>
        <w:t>。① 混合氧化物：Ru-Ir 固溶体活性与稳定性介于两单金属之间（在纯 RuO₂ 中加 20% Ir 可把腐蚀速率降到纯 RuO₂ 的 ~4%）；IrNi 系最亮眼——Nong 的 IrOₓ@IrNi 核壳在 ~77 at% Ni 时活性最优（部分 Ni 电化学溶出成壳），Reier 等的 IrNi 薄膜模型催化剂显示 Ni 溶出留下空位、O 被 OH 部分取代（富 OH 表面、弱键合）并可能生成亲电 O¹⁻，Ir 质量归一活性提升约 20 倍。② 阴离子掺杂：F 掺杂 IrO₂ 活性提升 ~19% 且不损稳定性（F⁻ 有效电荷小、减弱氧中间体与表面静电排斥、吸附增强）；含高氧化电位阴离子的掺杂也能从热力学上抑制金属溶出（Binninger）。③ 载体：碳在 PEM 阳极电位下热力学不稳（C→CO₂ 标准电位仅 0.207 V），需导电氧化物：Ti_nO_2n−1（电导 25–1000 S·cm⁻¹ 但 BET 仅数 m²·g⁻¹）、Nb 掺杂 TiO₂ NTO（BET 136 m²·g⁻¹，介孔电导经热处理由 10⁻⁶–10⁻⁵ 提至 0.25 S·cm⁻¹）、Sb/F 掺杂 SnO₂（ATO/FTO，&gt;100 m²·g⁻¹、0.1–7 S·cm⁻¹）、ITO（10⁻³–9.5 S·cm⁻¹），对照 Vulcan 碳 235 m²·g⁻¹、21.6 S·cm⁻¹。ATO 已被验证可承载 Ir 纳米枝晶与 IrOₓ@IrNi；载体金属溶出会损害膜离子电导。</w:t>
      </w: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4. 技术难点识别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1. </w:t>
      </w:r>
      <w:r>
        <w:rPr>
          <w:rFonts w:ascii="Times New Roman" w:hAnsi="Times New Roman" w:eastAsia="宋体"/>
          <w:b/>
          <w:sz w:val="24"/>
        </w:rPr>
        <w:t>机理不可判定性（R0，p.3-5、p.8）</w:t>
      </w:r>
      <w:r>
        <w:rPr>
          <w:rFonts w:ascii="Times New Roman" w:hAnsi="Times New Roman" w:eastAsia="宋体"/>
          <w:b w:val="0"/>
          <w:sz w:val="24"/>
        </w:rPr>
        <w:t>：Tafel 斜率非机理指纹、DFT 热力学模型不含动力学能垒（Mavros 指出两种不同机理给出相同过电位）、原位物种（Ir(III)/Ir(V)）归属受参考化合物限制——这是该领域最根本的未解难题。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2. </w:t>
      </w:r>
      <w:r>
        <w:rPr>
          <w:rFonts w:ascii="Times New Roman" w:hAnsi="Times New Roman" w:eastAsia="宋体"/>
          <w:b/>
          <w:sz w:val="24"/>
        </w:rPr>
        <w:t>催化剂表面动态性（R0，p.9、p.11）</w:t>
      </w:r>
      <w:r>
        <w:rPr>
          <w:rFonts w:ascii="Times New Roman" w:hAnsi="Times New Roman" w:eastAsia="宋体"/>
          <w:b w:val="0"/>
          <w:sz w:val="24"/>
        </w:rPr>
        <w:t>：OER 条件下近表面重构/溶解使单晶"初始结构-活性"关联失真，工况前后必须同一电极表征。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3. </w:t>
      </w:r>
      <w:r>
        <w:rPr>
          <w:rFonts w:ascii="Times New Roman" w:hAnsi="Times New Roman" w:eastAsia="宋体"/>
          <w:b/>
          <w:sz w:val="24"/>
        </w:rPr>
        <w:t>稳定性量化的方法学门槛（R0，p.10）</w:t>
      </w:r>
      <w:r>
        <w:rPr>
          <w:rFonts w:ascii="Times New Roman" w:hAnsi="Times New Roman" w:eastAsia="宋体"/>
          <w:b w:val="0"/>
          <w:sz w:val="24"/>
        </w:rPr>
        <w:t>：溶解是酸性 OER 的内在过程（电解液不含该金属离子时"带溶解的 OER"热力学上更优，Binninger，p.11），短期恒流测试会高估稳定性，需 ICP-MS/QCM 溶解监测。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4. </w:t>
      </w:r>
      <w:r>
        <w:rPr>
          <w:rFonts w:ascii="Times New Roman" w:hAnsi="Times New Roman" w:eastAsia="宋体"/>
          <w:b/>
          <w:sz w:val="24"/>
        </w:rPr>
        <w:t>材料可比性差（R0，p.10-11）</w:t>
      </w:r>
      <w:r>
        <w:rPr>
          <w:rFonts w:ascii="Times New Roman" w:hAnsi="Times New Roman" w:eastAsia="宋体"/>
          <w:b w:val="0"/>
          <w:sz w:val="24"/>
        </w:rPr>
        <w:t>：制备路径（电化学 vs 热制 vs 非晶、前驱体、煅烧温度）使性能相差悬殊，文献横向比较常失义。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5. </w:t>
      </w:r>
      <w:r>
        <w:rPr>
          <w:rFonts w:ascii="Times New Roman" w:hAnsi="Times New Roman" w:eastAsia="宋体"/>
          <w:b/>
          <w:sz w:val="24"/>
        </w:rPr>
        <w:t>资源约束（R0，p.1、p.9）</w:t>
      </w:r>
      <w:r>
        <w:rPr>
          <w:rFonts w:ascii="Times New Roman" w:hAnsi="Times New Roman" w:eastAsia="宋体"/>
          <w:b w:val="0"/>
          <w:sz w:val="24"/>
        </w:rPr>
        <w:t>：Ir/Ru 年产量远低于 Pt、价格稀缺，是 PEM 大规模化的硬约束。</w:t>
      </w: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5. 可借鉴点（实验设计直接可用）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1. </w:t>
      </w:r>
      <w:r>
        <w:rPr>
          <w:rFonts w:ascii="Times New Roman" w:hAnsi="Times New Roman" w:eastAsia="宋体"/>
          <w:b/>
          <w:sz w:val="24"/>
        </w:rPr>
        <w:t>建立统一的电极测试协议</w:t>
      </w:r>
      <w:r>
        <w:rPr>
          <w:rFonts w:ascii="Times New Roman" w:hAnsi="Times New Roman" w:eastAsia="宋体"/>
          <w:b w:val="0"/>
          <w:sz w:val="24"/>
        </w:rPr>
        <w:t>：固定电解质（0.1–0.5 M H₂SO₄）、扫速（如 2–5 mV·s⁻¹）、iR 校正，同时报告几何面积、ECSA（q\，如 0.4–1.4 V_RHE 循环伏安电荷）与贵金属质量三种归一化电流——确保课题65 数据可与 IrO₂ 文献横向比较（R0，p.9-11 呈现方式）。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2. </w:t>
      </w:r>
      <w:r>
        <w:rPr>
          <w:rFonts w:ascii="Times New Roman" w:hAnsi="Times New Roman" w:eastAsia="宋体"/>
          <w:b/>
          <w:sz w:val="24"/>
        </w:rPr>
        <w:t>稳定性实验做"溶解+电化学"双通道</w:t>
      </w:r>
      <w:r>
        <w:rPr>
          <w:rFonts w:ascii="Times New Roman" w:hAnsi="Times New Roman" w:eastAsia="宋体"/>
          <w:b w:val="0"/>
          <w:sz w:val="24"/>
        </w:rPr>
        <w:t>：若可及 ICP-MS/OES 则测运行前后电解液金属离子，否则长时恒流并定期取极化/CV 曲线，以区分"活性位流失 vs 导电网络劣化"（R0，p.10）。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3. </w:t>
      </w:r>
      <w:r>
        <w:rPr>
          <w:rFonts w:ascii="Times New Roman" w:hAnsi="Times New Roman" w:eastAsia="宋体"/>
          <w:b/>
          <w:sz w:val="24"/>
        </w:rPr>
        <w:t>退火/温度序列扫描 + 晶化度表征</w:t>
      </w:r>
      <w:r>
        <w:rPr>
          <w:rFonts w:ascii="Times New Roman" w:hAnsi="Times New Roman" w:eastAsia="宋体"/>
          <w:b w:val="0"/>
          <w:sz w:val="24"/>
        </w:rPr>
        <w:t>：按本文"非晶富 OH 高活性 vs 晶态高稳定"框架解释课题样品随微波温度/时间的变化；XRD 无定形度、Raman、XPS O1s 羟基占比可作为晶化度指征（R2）。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4. </w:t>
      </w:r>
      <w:r>
        <w:rPr>
          <w:rFonts w:ascii="Times New Roman" w:hAnsi="Times New Roman" w:eastAsia="宋体"/>
          <w:b/>
          <w:sz w:val="24"/>
        </w:rPr>
        <w:t>参比材料规范化</w:t>
      </w:r>
      <w:r>
        <w:rPr>
          <w:rFonts w:ascii="Times New Roman" w:hAnsi="Times New Roman" w:eastAsia="宋体"/>
          <w:b w:val="0"/>
          <w:sz w:val="24"/>
        </w:rPr>
        <w:t>：每次测试带一个商业 IrO₂（或本课题组固定合成批次 IrO₂）作内参，并注明其晶化/制备状态（R0，p.10-11）。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5. </w:t>
      </w:r>
      <w:r>
        <w:rPr>
          <w:rFonts w:ascii="Times New Roman" w:hAnsi="Times New Roman" w:eastAsia="宋体"/>
          <w:b/>
          <w:sz w:val="24"/>
        </w:rPr>
        <w:t>酸性介质与 MnO₂ 的兼容性预实验</w:t>
      </w:r>
      <w:r>
        <w:rPr>
          <w:rFonts w:ascii="Times New Roman" w:hAnsi="Times New Roman" w:eastAsia="宋体"/>
          <w:b w:val="0"/>
          <w:sz w:val="24"/>
        </w:rPr>
        <w:t>：先测 MnO₂ 载体单独在 0.5 M H₂SO₄ 中的极化曲线 + 溶出，确定可运行电位/电流窗口；如失稳，可借鉴 Ti 掺杂近表面稳定思路或加强 IrO₂ 包覆完整性（R0，p.12 的 Frydendal 方案 + R2）。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6. </w:t>
      </w:r>
      <w:r>
        <w:rPr>
          <w:rFonts w:ascii="Times New Roman" w:hAnsi="Times New Roman" w:eastAsia="宋体"/>
          <w:b/>
          <w:sz w:val="24"/>
        </w:rPr>
        <w:t>规避碳载体与氯化物污染</w:t>
      </w:r>
      <w:r>
        <w:rPr>
          <w:rFonts w:ascii="Times New Roman" w:hAnsi="Times New Roman" w:eastAsia="宋体"/>
          <w:b w:val="0"/>
          <w:sz w:val="24"/>
        </w:rPr>
        <w:t>：若课题做电极浆料/载体，避免碳纸阳极接触实验（碳腐蚀），前驱体优先无 Cl 路线（R0，p.10、p.13）。</w:t>
      </w: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6. 延伸思考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1. </w:t>
      </w:r>
      <w:r>
        <w:rPr>
          <w:rFonts w:ascii="Times New Roman" w:hAnsi="Times New Roman" w:eastAsia="宋体"/>
          <w:b/>
          <w:sz w:val="24"/>
        </w:rPr>
        <w:t>从"活性最优"到"活性-稳定性帕累托面"（R2）</w:t>
      </w:r>
      <w:r>
        <w:rPr>
          <w:rFonts w:ascii="Times New Roman" w:hAnsi="Times New Roman" w:eastAsia="宋体"/>
          <w:b w:val="0"/>
          <w:sz w:val="24"/>
        </w:rPr>
        <w:t>：本综述反复呈现活性/稳定性此消彼长（温度、晶化度、取向、非晶化），提示课题65 的"低铱 + MnO₂ 载体"应把目标定义为"在指定寿命与指定 Ir 用量下的最小电压"，而非单点 η 最优——这也是 PEM 阳极研究近年转向工况（MEA）评价的原因（与 Yang 篇一致）。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2. </w:t>
      </w:r>
      <w:r>
        <w:rPr>
          <w:rFonts w:ascii="Times New Roman" w:hAnsi="Times New Roman" w:eastAsia="宋体"/>
          <w:b/>
          <w:sz w:val="24"/>
        </w:rPr>
        <w:t>机理认识的十年演进（R1/R2）</w:t>
      </w:r>
      <w:r>
        <w:rPr>
          <w:rFonts w:ascii="Times New Roman" w:hAnsi="Times New Roman" w:eastAsia="宋体"/>
          <w:b w:val="0"/>
          <w:sz w:val="24"/>
        </w:rPr>
        <w:t>：2016 年综述尚称异相机理无定论，此后 LOM、氧空位、晶格氧活化等机制经 ¹⁸O 标记 DEMS/原位谱学逐渐被接受（Yang 2025 为代表）。两篇对照可见"综述→前沿实证"的知识更新方式：ρ_RHE、KIE、同位素产物分布等机理判据在 Yang 篇被操作化。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3. </w:t>
      </w:r>
      <w:r>
        <w:rPr>
          <w:rFonts w:ascii="Times New Roman" w:hAnsi="Times New Roman" w:eastAsia="宋体"/>
          <w:b/>
          <w:sz w:val="24"/>
        </w:rPr>
        <w:t>动态表面与"预催化剂"概念（R0，p.9、p.11）</w:t>
      </w:r>
      <w:r>
        <w:rPr>
          <w:rFonts w:ascii="Times New Roman" w:hAnsi="Times New Roman" w:eastAsia="宋体"/>
          <w:b w:val="0"/>
          <w:sz w:val="24"/>
        </w:rPr>
        <w:t>：OER 活性相是工况下转化的状态，因此"催化剂结构-性能"必须在原位语境下讨论——这对学生设计 XPS/TEM 取样时机（新鲜 vs OER 后）有直接指导意义。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4. </w:t>
      </w:r>
      <w:r>
        <w:rPr>
          <w:rFonts w:ascii="Times New Roman" w:hAnsi="Times New Roman" w:eastAsia="宋体"/>
          <w:b/>
          <w:sz w:val="24"/>
        </w:rPr>
        <w:t>无贵金属远期与 Mn 的定位（R0，p.12、p.14）</w:t>
      </w:r>
      <w:r>
        <w:rPr>
          <w:rFonts w:ascii="Times New Roman" w:hAnsi="Times New Roman" w:eastAsia="宋体"/>
          <w:b w:val="0"/>
          <w:sz w:val="24"/>
        </w:rPr>
        <w:t>：综述认为中期无贵金属 PEM 阳极不可行，Mn 基材料酸性失稳是主因；课题65 将 MnO₂ 定位为"载体 + 可能协同组分"而非活性主体，规避了 Mn 氧化物活性-稳定性双输的陷阱，但仍需溶出数据界定其作为载体的稳定性边界（R2）。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5. </w:t>
      </w:r>
      <w:r>
        <w:rPr>
          <w:rFonts w:ascii="Times New Roman" w:hAnsi="Times New Roman" w:eastAsia="宋体"/>
          <w:b/>
          <w:sz w:val="24"/>
        </w:rPr>
        <w:t>写作与论证借鉴（R2）</w:t>
      </w:r>
      <w:r>
        <w:rPr>
          <w:rFonts w:ascii="Times New Roman" w:hAnsi="Times New Roman" w:eastAsia="宋体"/>
          <w:b w:val="0"/>
          <w:sz w:val="24"/>
        </w:rPr>
        <w:t>：综述以"机理-原位证据-材料体系-降载策略"分层递进、大量使用活动序/稳定性序/火山曲线等简洁图谱，可作为学生毕设论文文献综述章节的骨架范本。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 w:val="0"/>
          <w:sz w:val="24"/>
        </w:rPr>
        <w:t>报告完 · 证据优先（R0/R1/R2 分级）</w:t>
      </w:r>
    </w:p>
    <w:sectPr>
      <w:headerReference r:id="rId5" w:type="default"/>
      <w:footerReference r:id="rId6" w:type="default"/>
      <w:pgSz w:w="11906" w:h="16838"/>
      <w:pgMar w:top="1440" w:right="1644" w:bottom="1440" w:left="1797" w:header="851" w:footer="851" w:gutter="0"/>
      <w:pgNumType w:start="1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冬青黑体简体中文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5"/>
      <w:pBdr>
        <w:top w:val="single" w:color="auto" w:sz="4" w:space="1"/>
      </w:pBdr>
      <w:jc w:val="right"/>
    </w:pPr>
    <w:sdt>
      <w:sdtPr>
        <w:id w:val="-1"/>
      </w:sdtPr>
      <w:sdtContent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5</w:t>
        </w:r>
        <w:r>
          <w:fldChar w:fldCharType="end"/>
        </w:r>
      </w:sdtContent>
    </w:sdt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6"/>
      <w:pBdr>
        <w:bottom w:val="none" w:color="auto" w:sz="0" w:space="0"/>
      </w:pBdr>
      <w:tabs>
        <w:tab w:val="left" w:pos="260"/>
      </w:tabs>
      <w:jc w:val="left"/>
      <w:rPr>
        <w:rFonts w:hint="eastAsia" w:eastAsia="宋体"/>
        <w:lang w:eastAsia="zh-CN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E336078"/>
    <w:multiLevelType w:val="multilevel"/>
    <w:tmpl w:val="0E336078"/>
    <w:lvl w:ilvl="0" w:tentative="0">
      <w:start w:val="1"/>
      <w:numFmt w:val="bullet"/>
      <w:pStyle w:val="43"/>
      <w:lvlText w:val=""/>
      <w:lvlJc w:val="left"/>
      <w:pPr>
        <w:ind w:left="120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1620"/>
        </w:tabs>
        <w:ind w:left="162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2040"/>
        </w:tabs>
        <w:ind w:left="204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2460"/>
        </w:tabs>
        <w:ind w:left="246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880"/>
        </w:tabs>
        <w:ind w:left="288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3300"/>
        </w:tabs>
        <w:ind w:left="330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3720"/>
        </w:tabs>
        <w:ind w:left="372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4140"/>
        </w:tabs>
        <w:ind w:left="414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4560"/>
        </w:tabs>
        <w:ind w:left="4560" w:hanging="420"/>
      </w:pPr>
      <w:rPr>
        <w:rFonts w:hint="default" w:ascii="Wingdings" w:hAnsi="Wingdings"/>
      </w:rPr>
    </w:lvl>
  </w:abstractNum>
  <w:abstractNum w:abstractNumId="1">
    <w:nsid w:val="18262C5A"/>
    <w:multiLevelType w:val="multilevel"/>
    <w:tmpl w:val="18262C5A"/>
    <w:lvl w:ilvl="0" w:tentative="0">
      <w:start w:val="1"/>
      <w:numFmt w:val="decimal"/>
      <w:pStyle w:val="57"/>
      <w:lvlText w:val="步骤%1."/>
      <w:lvlJc w:val="left"/>
      <w:pPr>
        <w:tabs>
          <w:tab w:val="left" w:pos="1276"/>
        </w:tabs>
        <w:ind w:left="1276" w:hanging="879"/>
      </w:pPr>
      <w:rPr>
        <w:rFonts w:hint="default" w:ascii="Times New Roman" w:hAnsi="Times New Roman" w:eastAsia="宋体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napToGrid w:val="0"/>
        <w:vanish w:val="0"/>
        <w:spacing w:val="0"/>
        <w:kern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props3d w14:extrusionH="0" w14:contourW="0" w14:prstMaterial="none"/>
        <w14:scene3d>
          <w14:lightRig w14:rig="threePt" w14:dir="t">
            <w14:rot w14:lat="0" w14:lon="0" w14:rev="0"/>
          </w14:lightRig>
        </w14:scene3d>
        <w14:ligatures w14:val="none"/>
        <w14:numForm w14:val="default"/>
        <w14:numSpacing w14:val="default"/>
      </w:rPr>
    </w:lvl>
    <w:lvl w:ilvl="1" w:tentative="0">
      <w:start w:val="1"/>
      <w:numFmt w:val="lowerLetter"/>
      <w:lvlText w:val="%2)"/>
      <w:lvlJc w:val="left"/>
      <w:pPr>
        <w:tabs>
          <w:tab w:val="left" w:pos="1469"/>
        </w:tabs>
        <w:ind w:left="1469" w:hanging="42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tabs>
          <w:tab w:val="left" w:pos="1889"/>
        </w:tabs>
        <w:ind w:left="1889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tabs>
          <w:tab w:val="left" w:pos="2309"/>
        </w:tabs>
        <w:ind w:left="2309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729"/>
        </w:tabs>
        <w:ind w:left="2729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3149"/>
        </w:tabs>
        <w:ind w:left="3149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3569"/>
        </w:tabs>
        <w:ind w:left="3569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989"/>
        </w:tabs>
        <w:ind w:left="3989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4409"/>
        </w:tabs>
        <w:ind w:left="4409" w:hanging="420"/>
      </w:pPr>
      <w:rPr>
        <w:rFonts w:hint="eastAsia"/>
      </w:rPr>
    </w:lvl>
  </w:abstractNum>
  <w:abstractNum w:abstractNumId="2">
    <w:nsid w:val="3F9E4C1A"/>
    <w:multiLevelType w:val="multilevel"/>
    <w:tmpl w:val="3F9E4C1A"/>
    <w:lvl w:ilvl="0" w:tentative="0">
      <w:start w:val="1"/>
      <w:numFmt w:val="bullet"/>
      <w:pStyle w:val="47"/>
      <w:lvlText w:val=""/>
      <w:lvlJc w:val="left"/>
      <w:pPr>
        <w:tabs>
          <w:tab w:val="left" w:pos="1200"/>
        </w:tabs>
        <w:ind w:left="120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"/>
      <w:lvlJc w:val="left"/>
      <w:pPr>
        <w:tabs>
          <w:tab w:val="left" w:pos="1620"/>
        </w:tabs>
        <w:ind w:left="162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2040"/>
        </w:tabs>
        <w:ind w:left="204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2460"/>
        </w:tabs>
        <w:ind w:left="246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880"/>
        </w:tabs>
        <w:ind w:left="288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3300"/>
        </w:tabs>
        <w:ind w:left="330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3720"/>
        </w:tabs>
        <w:ind w:left="372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4140"/>
        </w:tabs>
        <w:ind w:left="414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4560"/>
        </w:tabs>
        <w:ind w:left="4560" w:hanging="420"/>
      </w:pPr>
      <w:rPr>
        <w:rFonts w:hint="default" w:ascii="Wingdings" w:hAnsi="Wingdings"/>
      </w:rPr>
    </w:lvl>
  </w:abstractNum>
  <w:abstractNum w:abstractNumId="3">
    <w:nsid w:val="561E0D03"/>
    <w:multiLevelType w:val="multilevel"/>
    <w:tmpl w:val="561E0D03"/>
    <w:lvl w:ilvl="0" w:tentative="0">
      <w:start w:val="1"/>
      <w:numFmt w:val="bullet"/>
      <w:pStyle w:val="60"/>
      <w:lvlText w:val=""/>
      <w:lvlJc w:val="left"/>
      <w:pPr>
        <w:ind w:left="84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00" w:hanging="420"/>
      </w:pPr>
      <w:rPr>
        <w:rFonts w:hint="default" w:ascii="Wingdings" w:hAnsi="Wingdings"/>
      </w:rPr>
    </w:lvl>
  </w:abstractNum>
  <w:abstractNum w:abstractNumId="4">
    <w:nsid w:val="57E06AFF"/>
    <w:multiLevelType w:val="multilevel"/>
    <w:tmpl w:val="57E06AFF"/>
    <w:lvl w:ilvl="0" w:tentative="0">
      <w:start w:val="1"/>
      <w:numFmt w:val="decimal"/>
      <w:pStyle w:val="2"/>
      <w:lvlText w:val="%1."/>
      <w:lvlJc w:val="left"/>
      <w:pPr>
        <w:ind w:left="420" w:hanging="420"/>
      </w:pPr>
      <w:rPr>
        <w:rFonts w:hint="default" w:ascii="Times New Roman" w:hAnsi="Times New Roman" w:eastAsia="宋体"/>
        <w:b/>
        <w:i w:val="0"/>
        <w:sz w:val="44"/>
      </w:rPr>
    </w:lvl>
    <w:lvl w:ilvl="1" w:tentative="0">
      <w:start w:val="1"/>
      <w:numFmt w:val="decimal"/>
      <w:pStyle w:val="4"/>
      <w:lvlText w:val="%1.%2."/>
      <w:lvlJc w:val="left"/>
      <w:pPr>
        <w:ind w:left="567" w:hanging="567"/>
      </w:pPr>
      <w:rPr>
        <w:rFonts w:hint="default" w:ascii="Times New Roman" w:hAnsi="Times New Roman" w:eastAsia="宋体"/>
        <w:b/>
        <w:i w:val="0"/>
        <w:sz w:val="32"/>
      </w:rPr>
    </w:lvl>
    <w:lvl w:ilvl="2" w:tentative="0">
      <w:start w:val="1"/>
      <w:numFmt w:val="decimal"/>
      <w:pStyle w:val="5"/>
      <w:lvlText w:val="%1.%2.%3."/>
      <w:lvlJc w:val="left"/>
      <w:pPr>
        <w:ind w:left="709" w:hanging="709"/>
      </w:pPr>
      <w:rPr>
        <w:rFonts w:hint="default" w:ascii="Times New Roman" w:hAnsi="Times New Roman" w:eastAsia="宋体"/>
        <w:b/>
        <w:i w:val="0"/>
        <w:sz w:val="30"/>
      </w:rPr>
    </w:lvl>
    <w:lvl w:ilvl="3" w:tentative="0">
      <w:start w:val="1"/>
      <w:numFmt w:val="decimal"/>
      <w:pStyle w:val="6"/>
      <w:lvlText w:val="%1.%2.%3.%4."/>
      <w:lvlJc w:val="left"/>
      <w:pPr>
        <w:ind w:left="851" w:hanging="851"/>
      </w:pPr>
      <w:rPr>
        <w:rFonts w:hint="default" w:ascii="Times New Roman" w:hAnsi="Times New Roman" w:eastAsia="宋体"/>
        <w:b/>
        <w:i w:val="0"/>
        <w:sz w:val="28"/>
      </w:rPr>
    </w:lvl>
    <w:lvl w:ilvl="4" w:tentative="0">
      <w:start w:val="1"/>
      <w:numFmt w:val="decimal"/>
      <w:pStyle w:val="7"/>
      <w:lvlText w:val="%1.%2.%3.%4.%5."/>
      <w:lvlJc w:val="left"/>
      <w:pPr>
        <w:ind w:left="992" w:hanging="992"/>
      </w:pPr>
      <w:rPr>
        <w:rFonts w:hint="eastAsia"/>
      </w:rPr>
    </w:lvl>
    <w:lvl w:ilvl="5" w:tentative="0">
      <w:start w:val="1"/>
      <w:numFmt w:val="decimal"/>
      <w:pStyle w:val="8"/>
      <w:lvlText w:val="%1.%2.%3.%4.%5.%6."/>
      <w:lvlJc w:val="left"/>
      <w:pPr>
        <w:ind w:left="1134" w:hanging="1134"/>
      </w:pPr>
      <w:rPr>
        <w:rFonts w:hint="eastAsia"/>
      </w:rPr>
    </w:lvl>
    <w:lvl w:ilvl="6" w:tentative="0">
      <w:start w:val="1"/>
      <w:numFmt w:val="decimal"/>
      <w:pStyle w:val="9"/>
      <w:lvlText w:val="%1.%2.%3.%4.%5.%6.%7."/>
      <w:lvlJc w:val="left"/>
      <w:pPr>
        <w:ind w:left="1276" w:hanging="1276"/>
      </w:pPr>
      <w:rPr>
        <w:rFonts w:hint="eastAsia"/>
      </w:rPr>
    </w:lvl>
    <w:lvl w:ilvl="7" w:tentative="0">
      <w:start w:val="1"/>
      <w:numFmt w:val="decimal"/>
      <w:pStyle w:val="10"/>
      <w:lvlText w:val="%1.%2.%3.%4.%5.%6.%7.%8."/>
      <w:lvlJc w:val="left"/>
      <w:pPr>
        <w:ind w:left="1418" w:hanging="1418"/>
      </w:pPr>
      <w:rPr>
        <w:rFonts w:hint="eastAsia"/>
      </w:rPr>
    </w:lvl>
    <w:lvl w:ilvl="8" w:tentative="0">
      <w:start w:val="1"/>
      <w:numFmt w:val="decimal"/>
      <w:pStyle w:val="11"/>
      <w:lvlText w:val="%1.%2.%3.%4.%5.%6.%7.%8.%9."/>
      <w:lvlJc w:val="left"/>
      <w:pPr>
        <w:ind w:left="1559" w:hanging="1559"/>
      </w:pPr>
      <w:rPr>
        <w:rFonts w:hint="eastAsia"/>
      </w:r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3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DgzN2I2M2FjNzAxNWM4MDAyYjdlZjZmOWZmMmM2NWMifQ=="/>
  </w:docVars>
  <w:rsids>
    <w:rsidRoot w:val="00E1465D"/>
    <w:rsid w:val="00001098"/>
    <w:rsid w:val="00001EA7"/>
    <w:rsid w:val="00007345"/>
    <w:rsid w:val="00027164"/>
    <w:rsid w:val="000271E1"/>
    <w:rsid w:val="000741A7"/>
    <w:rsid w:val="00075B09"/>
    <w:rsid w:val="00080170"/>
    <w:rsid w:val="00085016"/>
    <w:rsid w:val="00086E86"/>
    <w:rsid w:val="00092073"/>
    <w:rsid w:val="000937CB"/>
    <w:rsid w:val="000B2F55"/>
    <w:rsid w:val="000B4D0B"/>
    <w:rsid w:val="000B6B0E"/>
    <w:rsid w:val="000B6D43"/>
    <w:rsid w:val="000C2498"/>
    <w:rsid w:val="000D2BA8"/>
    <w:rsid w:val="000E39BC"/>
    <w:rsid w:val="000E45B6"/>
    <w:rsid w:val="000F2DD4"/>
    <w:rsid w:val="00112239"/>
    <w:rsid w:val="00114537"/>
    <w:rsid w:val="001152B7"/>
    <w:rsid w:val="00120248"/>
    <w:rsid w:val="001220F5"/>
    <w:rsid w:val="00122B6C"/>
    <w:rsid w:val="00156CEC"/>
    <w:rsid w:val="00162F88"/>
    <w:rsid w:val="001758CF"/>
    <w:rsid w:val="00182BDF"/>
    <w:rsid w:val="001976A1"/>
    <w:rsid w:val="001A60A8"/>
    <w:rsid w:val="001A7855"/>
    <w:rsid w:val="001B4F9F"/>
    <w:rsid w:val="001C5E9B"/>
    <w:rsid w:val="001C75D1"/>
    <w:rsid w:val="001D185D"/>
    <w:rsid w:val="001D5A30"/>
    <w:rsid w:val="001E1371"/>
    <w:rsid w:val="00202256"/>
    <w:rsid w:val="002170AF"/>
    <w:rsid w:val="00217AE3"/>
    <w:rsid w:val="0022051F"/>
    <w:rsid w:val="002219ED"/>
    <w:rsid w:val="00221A6C"/>
    <w:rsid w:val="0022700A"/>
    <w:rsid w:val="00241414"/>
    <w:rsid w:val="0025741B"/>
    <w:rsid w:val="002651E1"/>
    <w:rsid w:val="00283839"/>
    <w:rsid w:val="002908A8"/>
    <w:rsid w:val="002955C9"/>
    <w:rsid w:val="002A0CEE"/>
    <w:rsid w:val="002A7851"/>
    <w:rsid w:val="002B1F3E"/>
    <w:rsid w:val="002C3BEB"/>
    <w:rsid w:val="002D102E"/>
    <w:rsid w:val="002D1179"/>
    <w:rsid w:val="002D1191"/>
    <w:rsid w:val="002D1840"/>
    <w:rsid w:val="002D3528"/>
    <w:rsid w:val="002E23A3"/>
    <w:rsid w:val="002E3E40"/>
    <w:rsid w:val="002F11F0"/>
    <w:rsid w:val="002F7AFA"/>
    <w:rsid w:val="00301A5C"/>
    <w:rsid w:val="0031781C"/>
    <w:rsid w:val="003245E7"/>
    <w:rsid w:val="00326E1C"/>
    <w:rsid w:val="00341280"/>
    <w:rsid w:val="00343FFA"/>
    <w:rsid w:val="00354BF6"/>
    <w:rsid w:val="0037087D"/>
    <w:rsid w:val="0037111D"/>
    <w:rsid w:val="003724B0"/>
    <w:rsid w:val="00375793"/>
    <w:rsid w:val="00375ECD"/>
    <w:rsid w:val="00391BFA"/>
    <w:rsid w:val="00393CFB"/>
    <w:rsid w:val="003A3882"/>
    <w:rsid w:val="003C39F9"/>
    <w:rsid w:val="003C5C0F"/>
    <w:rsid w:val="003D02F0"/>
    <w:rsid w:val="003D1D37"/>
    <w:rsid w:val="003D3FB6"/>
    <w:rsid w:val="003D5CDB"/>
    <w:rsid w:val="003E0D83"/>
    <w:rsid w:val="003E0FBC"/>
    <w:rsid w:val="003E4B7B"/>
    <w:rsid w:val="003F57EA"/>
    <w:rsid w:val="00404500"/>
    <w:rsid w:val="0041574D"/>
    <w:rsid w:val="00420C65"/>
    <w:rsid w:val="004429DD"/>
    <w:rsid w:val="004543CF"/>
    <w:rsid w:val="00456090"/>
    <w:rsid w:val="00473C78"/>
    <w:rsid w:val="00487673"/>
    <w:rsid w:val="004904EB"/>
    <w:rsid w:val="004A4EE5"/>
    <w:rsid w:val="004A7608"/>
    <w:rsid w:val="004B1095"/>
    <w:rsid w:val="004B23E7"/>
    <w:rsid w:val="004B3BC0"/>
    <w:rsid w:val="004C6155"/>
    <w:rsid w:val="004D3EC4"/>
    <w:rsid w:val="004F7417"/>
    <w:rsid w:val="00506386"/>
    <w:rsid w:val="00517490"/>
    <w:rsid w:val="00517FD6"/>
    <w:rsid w:val="005213FD"/>
    <w:rsid w:val="00527614"/>
    <w:rsid w:val="00542087"/>
    <w:rsid w:val="00560242"/>
    <w:rsid w:val="005672AC"/>
    <w:rsid w:val="00580AF6"/>
    <w:rsid w:val="00582CDD"/>
    <w:rsid w:val="005A4AF0"/>
    <w:rsid w:val="005B0F85"/>
    <w:rsid w:val="005C41B4"/>
    <w:rsid w:val="005C4734"/>
    <w:rsid w:val="005F26FE"/>
    <w:rsid w:val="005F41E0"/>
    <w:rsid w:val="00602A90"/>
    <w:rsid w:val="0060593F"/>
    <w:rsid w:val="0060646F"/>
    <w:rsid w:val="00610A08"/>
    <w:rsid w:val="00626386"/>
    <w:rsid w:val="00633A41"/>
    <w:rsid w:val="006340E9"/>
    <w:rsid w:val="00652A76"/>
    <w:rsid w:val="00653C9F"/>
    <w:rsid w:val="006554DD"/>
    <w:rsid w:val="00657BBB"/>
    <w:rsid w:val="0067535A"/>
    <w:rsid w:val="0069195F"/>
    <w:rsid w:val="00692BAB"/>
    <w:rsid w:val="006A031C"/>
    <w:rsid w:val="006A1739"/>
    <w:rsid w:val="006A38A3"/>
    <w:rsid w:val="006B63C7"/>
    <w:rsid w:val="006C4566"/>
    <w:rsid w:val="006D2481"/>
    <w:rsid w:val="006F5071"/>
    <w:rsid w:val="006F67A8"/>
    <w:rsid w:val="00701354"/>
    <w:rsid w:val="00701EDD"/>
    <w:rsid w:val="007023F9"/>
    <w:rsid w:val="007050F9"/>
    <w:rsid w:val="00707AE6"/>
    <w:rsid w:val="007129A7"/>
    <w:rsid w:val="00726465"/>
    <w:rsid w:val="00727823"/>
    <w:rsid w:val="0074380A"/>
    <w:rsid w:val="007505E8"/>
    <w:rsid w:val="0076290B"/>
    <w:rsid w:val="00764A60"/>
    <w:rsid w:val="00774F42"/>
    <w:rsid w:val="0077543F"/>
    <w:rsid w:val="00782439"/>
    <w:rsid w:val="00783765"/>
    <w:rsid w:val="00785248"/>
    <w:rsid w:val="007D69A8"/>
    <w:rsid w:val="007E134C"/>
    <w:rsid w:val="007E2CB0"/>
    <w:rsid w:val="0080796D"/>
    <w:rsid w:val="0081087B"/>
    <w:rsid w:val="008128DC"/>
    <w:rsid w:val="00820265"/>
    <w:rsid w:val="00827C30"/>
    <w:rsid w:val="008340DE"/>
    <w:rsid w:val="008363A4"/>
    <w:rsid w:val="00842109"/>
    <w:rsid w:val="00845B71"/>
    <w:rsid w:val="00845FE6"/>
    <w:rsid w:val="00854267"/>
    <w:rsid w:val="0085614F"/>
    <w:rsid w:val="0086496D"/>
    <w:rsid w:val="00866609"/>
    <w:rsid w:val="00867969"/>
    <w:rsid w:val="008745A8"/>
    <w:rsid w:val="00885C56"/>
    <w:rsid w:val="00887792"/>
    <w:rsid w:val="0089097A"/>
    <w:rsid w:val="00893B00"/>
    <w:rsid w:val="00895587"/>
    <w:rsid w:val="008B0CB9"/>
    <w:rsid w:val="008C4B7D"/>
    <w:rsid w:val="008C6DA8"/>
    <w:rsid w:val="008D2305"/>
    <w:rsid w:val="008E28EB"/>
    <w:rsid w:val="008E6F5B"/>
    <w:rsid w:val="0090303B"/>
    <w:rsid w:val="00907431"/>
    <w:rsid w:val="00914AC3"/>
    <w:rsid w:val="0092367C"/>
    <w:rsid w:val="00931D12"/>
    <w:rsid w:val="00932376"/>
    <w:rsid w:val="0093742E"/>
    <w:rsid w:val="0094008B"/>
    <w:rsid w:val="0094276E"/>
    <w:rsid w:val="0094720E"/>
    <w:rsid w:val="00951078"/>
    <w:rsid w:val="009538D6"/>
    <w:rsid w:val="00956AB8"/>
    <w:rsid w:val="00956FE8"/>
    <w:rsid w:val="009573A9"/>
    <w:rsid w:val="009655AF"/>
    <w:rsid w:val="00970CC9"/>
    <w:rsid w:val="00976FE8"/>
    <w:rsid w:val="00980E83"/>
    <w:rsid w:val="00985053"/>
    <w:rsid w:val="00991F3F"/>
    <w:rsid w:val="009A1042"/>
    <w:rsid w:val="009B3DED"/>
    <w:rsid w:val="009B4EFE"/>
    <w:rsid w:val="009B6598"/>
    <w:rsid w:val="009C1618"/>
    <w:rsid w:val="009C5B28"/>
    <w:rsid w:val="009C7207"/>
    <w:rsid w:val="009D6B51"/>
    <w:rsid w:val="009E0543"/>
    <w:rsid w:val="00A032D0"/>
    <w:rsid w:val="00A058AA"/>
    <w:rsid w:val="00A05999"/>
    <w:rsid w:val="00A07817"/>
    <w:rsid w:val="00A15752"/>
    <w:rsid w:val="00A17402"/>
    <w:rsid w:val="00A30A20"/>
    <w:rsid w:val="00A40675"/>
    <w:rsid w:val="00A42AA3"/>
    <w:rsid w:val="00A4717F"/>
    <w:rsid w:val="00A54416"/>
    <w:rsid w:val="00A67481"/>
    <w:rsid w:val="00A67F11"/>
    <w:rsid w:val="00A72FE9"/>
    <w:rsid w:val="00A767BA"/>
    <w:rsid w:val="00A8030B"/>
    <w:rsid w:val="00A8187A"/>
    <w:rsid w:val="00A83499"/>
    <w:rsid w:val="00A949D4"/>
    <w:rsid w:val="00AA2EB9"/>
    <w:rsid w:val="00AB0BB9"/>
    <w:rsid w:val="00AB0E93"/>
    <w:rsid w:val="00AB1353"/>
    <w:rsid w:val="00AB3B02"/>
    <w:rsid w:val="00AD64F7"/>
    <w:rsid w:val="00AD6B9E"/>
    <w:rsid w:val="00AE31FA"/>
    <w:rsid w:val="00AF288B"/>
    <w:rsid w:val="00B067B9"/>
    <w:rsid w:val="00B07578"/>
    <w:rsid w:val="00B10669"/>
    <w:rsid w:val="00B1125D"/>
    <w:rsid w:val="00B314C0"/>
    <w:rsid w:val="00B3318F"/>
    <w:rsid w:val="00B3475E"/>
    <w:rsid w:val="00B41969"/>
    <w:rsid w:val="00B42F85"/>
    <w:rsid w:val="00B54A51"/>
    <w:rsid w:val="00B552A1"/>
    <w:rsid w:val="00B55385"/>
    <w:rsid w:val="00B562ED"/>
    <w:rsid w:val="00B77E76"/>
    <w:rsid w:val="00B93C18"/>
    <w:rsid w:val="00BB1B9B"/>
    <w:rsid w:val="00BC283B"/>
    <w:rsid w:val="00BC69F1"/>
    <w:rsid w:val="00BD3FB8"/>
    <w:rsid w:val="00BD4C4E"/>
    <w:rsid w:val="00BD7FB7"/>
    <w:rsid w:val="00BE4798"/>
    <w:rsid w:val="00BF12A0"/>
    <w:rsid w:val="00C0013E"/>
    <w:rsid w:val="00C128D9"/>
    <w:rsid w:val="00C15CDA"/>
    <w:rsid w:val="00C24C06"/>
    <w:rsid w:val="00C27187"/>
    <w:rsid w:val="00C27FDD"/>
    <w:rsid w:val="00C333B2"/>
    <w:rsid w:val="00C40CBE"/>
    <w:rsid w:val="00C412AE"/>
    <w:rsid w:val="00C454D1"/>
    <w:rsid w:val="00C51BC7"/>
    <w:rsid w:val="00C5635C"/>
    <w:rsid w:val="00C66DB7"/>
    <w:rsid w:val="00C674AD"/>
    <w:rsid w:val="00C710A2"/>
    <w:rsid w:val="00C731B2"/>
    <w:rsid w:val="00C744CD"/>
    <w:rsid w:val="00C96E75"/>
    <w:rsid w:val="00CA0434"/>
    <w:rsid w:val="00CA1649"/>
    <w:rsid w:val="00CA487B"/>
    <w:rsid w:val="00CB2C45"/>
    <w:rsid w:val="00CC147F"/>
    <w:rsid w:val="00CD19C9"/>
    <w:rsid w:val="00CE6BB5"/>
    <w:rsid w:val="00CF72D8"/>
    <w:rsid w:val="00D0030A"/>
    <w:rsid w:val="00D0236E"/>
    <w:rsid w:val="00D0297C"/>
    <w:rsid w:val="00D113FD"/>
    <w:rsid w:val="00D12B74"/>
    <w:rsid w:val="00D14A87"/>
    <w:rsid w:val="00D155B6"/>
    <w:rsid w:val="00D2147F"/>
    <w:rsid w:val="00D22E3E"/>
    <w:rsid w:val="00D248E8"/>
    <w:rsid w:val="00D316CE"/>
    <w:rsid w:val="00D46378"/>
    <w:rsid w:val="00D5152C"/>
    <w:rsid w:val="00D535C3"/>
    <w:rsid w:val="00D53E60"/>
    <w:rsid w:val="00D64FE9"/>
    <w:rsid w:val="00D67A63"/>
    <w:rsid w:val="00D820F7"/>
    <w:rsid w:val="00D95651"/>
    <w:rsid w:val="00DA3342"/>
    <w:rsid w:val="00DB73AA"/>
    <w:rsid w:val="00DB7B31"/>
    <w:rsid w:val="00DC2577"/>
    <w:rsid w:val="00DC26CD"/>
    <w:rsid w:val="00DD4C3D"/>
    <w:rsid w:val="00DF3072"/>
    <w:rsid w:val="00E02484"/>
    <w:rsid w:val="00E107B5"/>
    <w:rsid w:val="00E12799"/>
    <w:rsid w:val="00E1465D"/>
    <w:rsid w:val="00E32953"/>
    <w:rsid w:val="00E35D09"/>
    <w:rsid w:val="00E42894"/>
    <w:rsid w:val="00E432FA"/>
    <w:rsid w:val="00E5789B"/>
    <w:rsid w:val="00E766A1"/>
    <w:rsid w:val="00E85F5A"/>
    <w:rsid w:val="00E96C7D"/>
    <w:rsid w:val="00EA1B98"/>
    <w:rsid w:val="00EA23B6"/>
    <w:rsid w:val="00EA5CA2"/>
    <w:rsid w:val="00EB6006"/>
    <w:rsid w:val="00EB7A10"/>
    <w:rsid w:val="00EC111B"/>
    <w:rsid w:val="00EC50AA"/>
    <w:rsid w:val="00ED4FF9"/>
    <w:rsid w:val="00ED6470"/>
    <w:rsid w:val="00EE385A"/>
    <w:rsid w:val="00EE5A60"/>
    <w:rsid w:val="00EF0F26"/>
    <w:rsid w:val="00F15B0B"/>
    <w:rsid w:val="00F30BA9"/>
    <w:rsid w:val="00F520A6"/>
    <w:rsid w:val="00F56DE0"/>
    <w:rsid w:val="00F620A1"/>
    <w:rsid w:val="00F82AFD"/>
    <w:rsid w:val="00F82EE2"/>
    <w:rsid w:val="00F8678B"/>
    <w:rsid w:val="00F91127"/>
    <w:rsid w:val="00F93AE4"/>
    <w:rsid w:val="00FB16F1"/>
    <w:rsid w:val="00FB4F4A"/>
    <w:rsid w:val="00FB5904"/>
    <w:rsid w:val="00FB593A"/>
    <w:rsid w:val="00FB6323"/>
    <w:rsid w:val="00FC3294"/>
    <w:rsid w:val="00FC53E2"/>
    <w:rsid w:val="00FD6269"/>
    <w:rsid w:val="00FF1DDA"/>
    <w:rsid w:val="00FF5B05"/>
    <w:rsid w:val="03434F54"/>
    <w:rsid w:val="06163A32"/>
    <w:rsid w:val="067F2A0E"/>
    <w:rsid w:val="06EA1F1A"/>
    <w:rsid w:val="070F5170"/>
    <w:rsid w:val="08D763CA"/>
    <w:rsid w:val="0D4C0A39"/>
    <w:rsid w:val="0FFB1952"/>
    <w:rsid w:val="146723CC"/>
    <w:rsid w:val="147B680C"/>
    <w:rsid w:val="15324901"/>
    <w:rsid w:val="1539797F"/>
    <w:rsid w:val="15EB22B4"/>
    <w:rsid w:val="1639423A"/>
    <w:rsid w:val="17EDC250"/>
    <w:rsid w:val="1B302ADF"/>
    <w:rsid w:val="1B620B59"/>
    <w:rsid w:val="1EBA04C4"/>
    <w:rsid w:val="1F437447"/>
    <w:rsid w:val="1F76D75D"/>
    <w:rsid w:val="233576CE"/>
    <w:rsid w:val="23F530CF"/>
    <w:rsid w:val="26271017"/>
    <w:rsid w:val="26322DEF"/>
    <w:rsid w:val="281A1A02"/>
    <w:rsid w:val="28B503F7"/>
    <w:rsid w:val="28CD2D3C"/>
    <w:rsid w:val="2CD75F5D"/>
    <w:rsid w:val="33F400E2"/>
    <w:rsid w:val="359E69AC"/>
    <w:rsid w:val="38BFF1E2"/>
    <w:rsid w:val="39B4455A"/>
    <w:rsid w:val="3ADF6EFD"/>
    <w:rsid w:val="3B982DE0"/>
    <w:rsid w:val="3BBB21DC"/>
    <w:rsid w:val="3C8C2C72"/>
    <w:rsid w:val="3D2DF7A3"/>
    <w:rsid w:val="406D5E55"/>
    <w:rsid w:val="43A37870"/>
    <w:rsid w:val="479354BC"/>
    <w:rsid w:val="486E535B"/>
    <w:rsid w:val="49FD0DB6"/>
    <w:rsid w:val="534A1D9D"/>
    <w:rsid w:val="55756839"/>
    <w:rsid w:val="5D8C4BE8"/>
    <w:rsid w:val="5FF52DFF"/>
    <w:rsid w:val="60A70F0A"/>
    <w:rsid w:val="6E6D028B"/>
    <w:rsid w:val="6EBBBD9B"/>
    <w:rsid w:val="706C1AC9"/>
    <w:rsid w:val="72DF7849"/>
    <w:rsid w:val="72EC0678"/>
    <w:rsid w:val="7397B993"/>
    <w:rsid w:val="7428006B"/>
    <w:rsid w:val="753B2A97"/>
    <w:rsid w:val="758F617C"/>
    <w:rsid w:val="76741766"/>
    <w:rsid w:val="773DD397"/>
    <w:rsid w:val="77EF4FD5"/>
    <w:rsid w:val="78C14F33"/>
    <w:rsid w:val="7CB27C44"/>
    <w:rsid w:val="7DCB394B"/>
    <w:rsid w:val="7E47317A"/>
    <w:rsid w:val="7F7FF514"/>
    <w:rsid w:val="7FBEA9CB"/>
    <w:rsid w:val="9FF6EBE3"/>
    <w:rsid w:val="B7B719FA"/>
    <w:rsid w:val="BD8BB6B3"/>
    <w:rsid w:val="BEF77B82"/>
    <w:rsid w:val="BF9D4D15"/>
    <w:rsid w:val="CB4D1783"/>
    <w:rsid w:val="CFBBDA92"/>
    <w:rsid w:val="FBFF1F8E"/>
    <w:rsid w:val="FED79344"/>
    <w:rsid w:val="FEF684E1"/>
    <w:rsid w:val="FF17A4B1"/>
    <w:rsid w:val="FFFF15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9" w:semiHidden="0" w:name="heading 5"/>
    <w:lsdException w:qFormat="1" w:uiPriority="9" w:semiHidden="0" w:name="heading 6"/>
    <w:lsdException w:qFormat="1" w:uiPriority="9" w:name="heading 7"/>
    <w:lsdException w:qFormat="1" w:uiPriority="9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iPriority="99" w:semiHidden="0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qFormat="1"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420"/>
      <w:jc w:val="both"/>
    </w:pPr>
    <w:rPr>
      <w:rFonts w:ascii="Times New Roman" w:hAnsi="Times New Roman" w:eastAsia="宋体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3"/>
    <w:link w:val="32"/>
    <w:qFormat/>
    <w:uiPriority w:val="0"/>
    <w:pPr>
      <w:keepNext/>
      <w:keepLines/>
      <w:pageBreakBefore/>
      <w:numPr>
        <w:ilvl w:val="0"/>
        <w:numId w:val="1"/>
      </w:num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4">
    <w:name w:val="heading 2"/>
    <w:basedOn w:val="2"/>
    <w:next w:val="3"/>
    <w:link w:val="33"/>
    <w:unhideWhenUsed/>
    <w:qFormat/>
    <w:uiPriority w:val="0"/>
    <w:pPr>
      <w:numPr>
        <w:ilvl w:val="1"/>
      </w:numPr>
      <w:spacing w:before="260" w:after="260" w:line="416" w:lineRule="auto"/>
      <w:outlineLvl w:val="1"/>
    </w:pPr>
    <w:rPr>
      <w:rFonts w:cstheme="majorBidi"/>
      <w:sz w:val="32"/>
      <w:szCs w:val="32"/>
    </w:rPr>
  </w:style>
  <w:style w:type="paragraph" w:styleId="5">
    <w:name w:val="heading 3"/>
    <w:basedOn w:val="1"/>
    <w:next w:val="1"/>
    <w:link w:val="34"/>
    <w:unhideWhenUsed/>
    <w:qFormat/>
    <w:uiPriority w:val="0"/>
    <w:pPr>
      <w:keepNext/>
      <w:keepLines/>
      <w:numPr>
        <w:ilvl w:val="2"/>
        <w:numId w:val="1"/>
      </w:numPr>
      <w:spacing w:before="260" w:after="260" w:line="416" w:lineRule="auto"/>
      <w:outlineLvl w:val="2"/>
    </w:pPr>
    <w:rPr>
      <w:b/>
      <w:bCs/>
      <w:sz w:val="30"/>
      <w:szCs w:val="32"/>
    </w:rPr>
  </w:style>
  <w:style w:type="paragraph" w:styleId="6">
    <w:name w:val="heading 4"/>
    <w:basedOn w:val="1"/>
    <w:next w:val="1"/>
    <w:link w:val="35"/>
    <w:unhideWhenUsed/>
    <w:qFormat/>
    <w:uiPriority w:val="0"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cstheme="majorBidi"/>
      <w:b/>
      <w:bCs/>
      <w:sz w:val="28"/>
      <w:szCs w:val="28"/>
    </w:rPr>
  </w:style>
  <w:style w:type="paragraph" w:styleId="7">
    <w:name w:val="heading 5"/>
    <w:basedOn w:val="1"/>
    <w:next w:val="1"/>
    <w:link w:val="36"/>
    <w:unhideWhenUsed/>
    <w:qFormat/>
    <w:uiPriority w:val="9"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8">
    <w:name w:val="heading 6"/>
    <w:basedOn w:val="1"/>
    <w:next w:val="1"/>
    <w:link w:val="37"/>
    <w:unhideWhenUsed/>
    <w:qFormat/>
    <w:uiPriority w:val="9"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Theme="majorHAnsi" w:hAnsiTheme="majorHAnsi" w:cstheme="majorBidi"/>
      <w:b/>
      <w:bCs/>
      <w:sz w:val="24"/>
      <w:szCs w:val="24"/>
    </w:rPr>
  </w:style>
  <w:style w:type="paragraph" w:styleId="9">
    <w:name w:val="heading 7"/>
    <w:basedOn w:val="1"/>
    <w:next w:val="1"/>
    <w:link w:val="38"/>
    <w:semiHidden/>
    <w:unhideWhenUsed/>
    <w:qFormat/>
    <w:uiPriority w:val="9"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10">
    <w:name w:val="heading 8"/>
    <w:basedOn w:val="1"/>
    <w:next w:val="1"/>
    <w:link w:val="39"/>
    <w:semiHidden/>
    <w:unhideWhenUsed/>
    <w:qFormat/>
    <w:uiPriority w:val="9"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Theme="majorHAnsi" w:hAnsiTheme="majorHAnsi" w:eastAsiaTheme="majorEastAsia" w:cstheme="majorBidi"/>
      <w:sz w:val="24"/>
      <w:szCs w:val="24"/>
    </w:rPr>
  </w:style>
  <w:style w:type="paragraph" w:styleId="11">
    <w:name w:val="heading 9"/>
    <w:basedOn w:val="1"/>
    <w:next w:val="1"/>
    <w:link w:val="40"/>
    <w:unhideWhenUsed/>
    <w:qFormat/>
    <w:uiPriority w:val="9"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Theme="majorHAnsi" w:hAnsiTheme="majorHAnsi" w:eastAsiaTheme="majorEastAsia" w:cstheme="majorBidi"/>
      <w:szCs w:val="21"/>
    </w:rPr>
  </w:style>
  <w:style w:type="character" w:default="1" w:styleId="23">
    <w:name w:val="Default Paragraph Font"/>
    <w:semiHidden/>
    <w:unhideWhenUsed/>
    <w:uiPriority w:val="1"/>
  </w:style>
  <w:style w:type="table" w:default="1" w:styleId="20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Indent"/>
    <w:basedOn w:val="1"/>
    <w:unhideWhenUsed/>
    <w:qFormat/>
    <w:uiPriority w:val="99"/>
    <w:pPr>
      <w:ind w:firstLine="200" w:firstLineChars="200"/>
    </w:pPr>
  </w:style>
  <w:style w:type="paragraph" w:styleId="12">
    <w:name w:val="annotation text"/>
    <w:basedOn w:val="1"/>
    <w:link w:val="63"/>
    <w:semiHidden/>
    <w:unhideWhenUsed/>
    <w:qFormat/>
    <w:uiPriority w:val="99"/>
    <w:pPr>
      <w:jc w:val="left"/>
    </w:pPr>
  </w:style>
  <w:style w:type="paragraph" w:styleId="13">
    <w:name w:val="toc 3"/>
    <w:basedOn w:val="1"/>
    <w:next w:val="1"/>
    <w:unhideWhenUsed/>
    <w:qFormat/>
    <w:uiPriority w:val="39"/>
    <w:pPr>
      <w:ind w:left="840" w:leftChars="400"/>
    </w:pPr>
  </w:style>
  <w:style w:type="paragraph" w:styleId="14">
    <w:name w:val="Balloon Text"/>
    <w:basedOn w:val="1"/>
    <w:link w:val="51"/>
    <w:semiHidden/>
    <w:unhideWhenUsed/>
    <w:qFormat/>
    <w:uiPriority w:val="99"/>
    <w:pPr>
      <w:spacing w:line="240" w:lineRule="auto"/>
    </w:pPr>
    <w:rPr>
      <w:sz w:val="18"/>
      <w:szCs w:val="18"/>
    </w:rPr>
  </w:style>
  <w:style w:type="paragraph" w:styleId="15">
    <w:name w:val="footer"/>
    <w:basedOn w:val="1"/>
    <w:link w:val="2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6">
    <w:name w:val="header"/>
    <w:basedOn w:val="1"/>
    <w:link w:val="2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7">
    <w:name w:val="toc 1"/>
    <w:basedOn w:val="1"/>
    <w:next w:val="1"/>
    <w:unhideWhenUsed/>
    <w:qFormat/>
    <w:uiPriority w:val="39"/>
  </w:style>
  <w:style w:type="paragraph" w:styleId="18">
    <w:name w:val="toc 2"/>
    <w:basedOn w:val="1"/>
    <w:next w:val="1"/>
    <w:unhideWhenUsed/>
    <w:qFormat/>
    <w:uiPriority w:val="39"/>
    <w:pPr>
      <w:ind w:left="420" w:leftChars="200"/>
    </w:pPr>
  </w:style>
  <w:style w:type="paragraph" w:styleId="19">
    <w:name w:val="annotation subject"/>
    <w:basedOn w:val="12"/>
    <w:next w:val="12"/>
    <w:link w:val="64"/>
    <w:semiHidden/>
    <w:unhideWhenUsed/>
    <w:qFormat/>
    <w:uiPriority w:val="99"/>
    <w:rPr>
      <w:b/>
      <w:bCs/>
    </w:rPr>
  </w:style>
  <w:style w:type="table" w:styleId="21">
    <w:name w:val="Table Grid"/>
    <w:basedOn w:val="20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22">
    <w:name w:val="Table Professional"/>
    <w:basedOn w:val="20"/>
    <w:semiHidden/>
    <w:unhideWhenUsed/>
    <w:qFormat/>
    <w:uiPriority w:val="99"/>
    <w:pPr>
      <w:widowControl w:val="0"/>
      <w:spacing w:line="360" w:lineRule="auto"/>
      <w:ind w:firstLine="42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character" w:styleId="24">
    <w:name w:val="FollowedHyperlink"/>
    <w:basedOn w:val="23"/>
    <w:semiHidden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25">
    <w:name w:val="Hyperlink"/>
    <w:basedOn w:val="23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26">
    <w:name w:val="annotation reference"/>
    <w:basedOn w:val="23"/>
    <w:semiHidden/>
    <w:unhideWhenUsed/>
    <w:qFormat/>
    <w:uiPriority w:val="99"/>
    <w:rPr>
      <w:sz w:val="21"/>
      <w:szCs w:val="21"/>
    </w:rPr>
  </w:style>
  <w:style w:type="character" w:customStyle="1" w:styleId="27">
    <w:name w:val="页眉 字符"/>
    <w:basedOn w:val="23"/>
    <w:link w:val="16"/>
    <w:qFormat/>
    <w:uiPriority w:val="99"/>
    <w:rPr>
      <w:sz w:val="18"/>
      <w:szCs w:val="18"/>
    </w:rPr>
  </w:style>
  <w:style w:type="character" w:customStyle="1" w:styleId="28">
    <w:name w:val="页脚 字符"/>
    <w:basedOn w:val="23"/>
    <w:link w:val="15"/>
    <w:qFormat/>
    <w:uiPriority w:val="99"/>
    <w:rPr>
      <w:sz w:val="18"/>
      <w:szCs w:val="18"/>
    </w:rPr>
  </w:style>
  <w:style w:type="paragraph" w:customStyle="1" w:styleId="29">
    <w:name w:val="页面标题"/>
    <w:basedOn w:val="1"/>
    <w:next w:val="1"/>
    <w:qFormat/>
    <w:uiPriority w:val="0"/>
    <w:pPr>
      <w:widowControl/>
      <w:ind w:firstLine="0"/>
      <w:jc w:val="center"/>
    </w:pPr>
    <w:rPr>
      <w:rFonts w:ascii="宋体" w:hAnsi="宋体" w:cs="宋体"/>
      <w:b/>
      <w:bCs/>
      <w:kern w:val="0"/>
      <w:sz w:val="44"/>
      <w:szCs w:val="44"/>
    </w:rPr>
  </w:style>
  <w:style w:type="paragraph" w:customStyle="1" w:styleId="30">
    <w:name w:val="表头"/>
    <w:basedOn w:val="1"/>
    <w:qFormat/>
    <w:uiPriority w:val="0"/>
    <w:pPr>
      <w:widowControl/>
      <w:spacing w:line="320" w:lineRule="exact"/>
      <w:jc w:val="center"/>
    </w:pPr>
    <w:rPr>
      <w:rFonts w:cs="Times New Roman"/>
      <w:b/>
      <w:bCs/>
      <w:snapToGrid w:val="0"/>
      <w:color w:val="FFFFFF" w:themeColor="background1"/>
      <w:kern w:val="0"/>
      <w:szCs w:val="18"/>
      <w14:textFill>
        <w14:solidFill>
          <w14:schemeClr w14:val="bg1"/>
        </w14:solidFill>
      </w14:textFill>
    </w:rPr>
  </w:style>
  <w:style w:type="paragraph" w:customStyle="1" w:styleId="31">
    <w:name w:val="表内容"/>
    <w:basedOn w:val="1"/>
    <w:qFormat/>
    <w:uiPriority w:val="0"/>
    <w:pPr>
      <w:widowControl/>
      <w:spacing w:line="240" w:lineRule="auto"/>
      <w:ind w:firstLine="0"/>
      <w:jc w:val="left"/>
    </w:pPr>
    <w:rPr>
      <w:rFonts w:cs="Times New Roman"/>
      <w:snapToGrid w:val="0"/>
      <w:kern w:val="0"/>
      <w:szCs w:val="24"/>
    </w:rPr>
  </w:style>
  <w:style w:type="character" w:customStyle="1" w:styleId="32">
    <w:name w:val="标题 1 字符"/>
    <w:basedOn w:val="23"/>
    <w:link w:val="2"/>
    <w:qFormat/>
    <w:uiPriority w:val="0"/>
    <w:rPr>
      <w:rFonts w:ascii="Times New Roman" w:hAnsi="Times New Roman" w:eastAsia="宋体"/>
      <w:b/>
      <w:bCs/>
      <w:kern w:val="44"/>
      <w:sz w:val="44"/>
      <w:szCs w:val="44"/>
    </w:rPr>
  </w:style>
  <w:style w:type="character" w:customStyle="1" w:styleId="33">
    <w:name w:val="标题 2 字符"/>
    <w:basedOn w:val="23"/>
    <w:link w:val="4"/>
    <w:qFormat/>
    <w:uiPriority w:val="0"/>
    <w:rPr>
      <w:rFonts w:ascii="Times New Roman" w:hAnsi="Times New Roman" w:eastAsia="宋体" w:cstheme="majorBidi"/>
      <w:b/>
      <w:bCs/>
      <w:sz w:val="32"/>
      <w:szCs w:val="32"/>
    </w:rPr>
  </w:style>
  <w:style w:type="character" w:customStyle="1" w:styleId="34">
    <w:name w:val="标题 3 字符"/>
    <w:basedOn w:val="23"/>
    <w:link w:val="5"/>
    <w:qFormat/>
    <w:uiPriority w:val="9"/>
    <w:rPr>
      <w:rFonts w:eastAsia="宋体"/>
      <w:b/>
      <w:bCs/>
      <w:sz w:val="30"/>
      <w:szCs w:val="32"/>
    </w:rPr>
  </w:style>
  <w:style w:type="character" w:customStyle="1" w:styleId="35">
    <w:name w:val="标题 4 字符"/>
    <w:basedOn w:val="23"/>
    <w:link w:val="6"/>
    <w:qFormat/>
    <w:uiPriority w:val="0"/>
    <w:rPr>
      <w:rFonts w:ascii="Times New Roman" w:hAnsi="Times New Roman" w:eastAsia="宋体" w:cstheme="majorBidi"/>
      <w:b/>
      <w:bCs/>
      <w:sz w:val="28"/>
      <w:szCs w:val="28"/>
    </w:rPr>
  </w:style>
  <w:style w:type="character" w:customStyle="1" w:styleId="36">
    <w:name w:val="标题 5 字符"/>
    <w:basedOn w:val="23"/>
    <w:link w:val="7"/>
    <w:qFormat/>
    <w:uiPriority w:val="9"/>
    <w:rPr>
      <w:rFonts w:eastAsia="宋体"/>
      <w:b/>
      <w:bCs/>
      <w:sz w:val="28"/>
      <w:szCs w:val="28"/>
    </w:rPr>
  </w:style>
  <w:style w:type="character" w:customStyle="1" w:styleId="37">
    <w:name w:val="标题 6 字符"/>
    <w:basedOn w:val="23"/>
    <w:link w:val="8"/>
    <w:qFormat/>
    <w:uiPriority w:val="9"/>
    <w:rPr>
      <w:rFonts w:eastAsia="宋体" w:asciiTheme="majorHAnsi" w:hAnsiTheme="majorHAnsi" w:cstheme="majorBidi"/>
      <w:b/>
      <w:bCs/>
      <w:sz w:val="24"/>
      <w:szCs w:val="24"/>
    </w:rPr>
  </w:style>
  <w:style w:type="character" w:customStyle="1" w:styleId="38">
    <w:name w:val="标题 7 字符"/>
    <w:basedOn w:val="23"/>
    <w:link w:val="9"/>
    <w:semiHidden/>
    <w:qFormat/>
    <w:uiPriority w:val="9"/>
    <w:rPr>
      <w:b/>
      <w:bCs/>
      <w:sz w:val="24"/>
      <w:szCs w:val="24"/>
    </w:rPr>
  </w:style>
  <w:style w:type="character" w:customStyle="1" w:styleId="39">
    <w:name w:val="标题 8 字符"/>
    <w:basedOn w:val="23"/>
    <w:link w:val="10"/>
    <w:semiHidden/>
    <w:qFormat/>
    <w:uiPriority w:val="9"/>
    <w:rPr>
      <w:rFonts w:asciiTheme="majorHAnsi" w:hAnsiTheme="majorHAnsi" w:eastAsiaTheme="majorEastAsia" w:cstheme="majorBidi"/>
      <w:sz w:val="24"/>
      <w:szCs w:val="24"/>
    </w:rPr>
  </w:style>
  <w:style w:type="character" w:customStyle="1" w:styleId="40">
    <w:name w:val="标题 9 字符"/>
    <w:basedOn w:val="23"/>
    <w:link w:val="11"/>
    <w:qFormat/>
    <w:uiPriority w:val="9"/>
    <w:rPr>
      <w:rFonts w:asciiTheme="majorHAnsi" w:hAnsiTheme="majorHAnsi" w:eastAsiaTheme="majorEastAsia" w:cstheme="majorBidi"/>
      <w:szCs w:val="21"/>
    </w:rPr>
  </w:style>
  <w:style w:type="paragraph" w:styleId="41">
    <w:name w:val="List Paragraph"/>
    <w:basedOn w:val="1"/>
    <w:qFormat/>
    <w:uiPriority w:val="34"/>
    <w:pPr>
      <w:ind w:firstLine="200" w:firstLineChars="200"/>
    </w:pPr>
  </w:style>
  <w:style w:type="character" w:customStyle="1" w:styleId="42">
    <w:name w:val="菜单命令"/>
    <w:qFormat/>
    <w:uiPriority w:val="0"/>
    <w:rPr>
      <w:rFonts w:ascii="Times New Roman" w:hAnsi="Times New Roman" w:eastAsia="宋体"/>
      <w:b/>
      <w:bCs/>
      <w:sz w:val="21"/>
      <w:szCs w:val="21"/>
    </w:rPr>
  </w:style>
  <w:style w:type="paragraph" w:customStyle="1" w:styleId="43">
    <w:name w:val="项目列举2级"/>
    <w:basedOn w:val="1"/>
    <w:qFormat/>
    <w:uiPriority w:val="0"/>
    <w:pPr>
      <w:widowControl/>
      <w:numPr>
        <w:ilvl w:val="0"/>
        <w:numId w:val="2"/>
      </w:numPr>
      <w:jc w:val="left"/>
    </w:pPr>
    <w:rPr>
      <w:rFonts w:cs="宋体"/>
      <w:kern w:val="0"/>
      <w:szCs w:val="21"/>
    </w:rPr>
  </w:style>
  <w:style w:type="character" w:customStyle="1" w:styleId="44">
    <w:name w:val="命令参数"/>
    <w:qFormat/>
    <w:uiPriority w:val="0"/>
    <w:rPr>
      <w:rFonts w:ascii="Times New Roman" w:hAnsi="Times New Roman" w:eastAsia="宋体"/>
      <w:sz w:val="21"/>
      <w:szCs w:val="21"/>
    </w:rPr>
  </w:style>
  <w:style w:type="character" w:customStyle="1" w:styleId="45">
    <w:name w:val="命令参数斜体"/>
    <w:qFormat/>
    <w:uiPriority w:val="0"/>
    <w:rPr>
      <w:rFonts w:ascii="Times New Roman" w:hAnsi="Times New Roman" w:eastAsia="宋体"/>
      <w:i/>
      <w:sz w:val="21"/>
    </w:rPr>
  </w:style>
  <w:style w:type="character" w:customStyle="1" w:styleId="46">
    <w:name w:val="命令名和动作"/>
    <w:qFormat/>
    <w:uiPriority w:val="0"/>
    <w:rPr>
      <w:rFonts w:ascii="Times New Roman" w:hAnsi="Times New Roman" w:eastAsia="黑体"/>
      <w:b/>
      <w:sz w:val="21"/>
      <w:szCs w:val="21"/>
    </w:rPr>
  </w:style>
  <w:style w:type="paragraph" w:customStyle="1" w:styleId="47">
    <w:name w:val="章节项目"/>
    <w:basedOn w:val="1"/>
    <w:qFormat/>
    <w:uiPriority w:val="0"/>
    <w:pPr>
      <w:widowControl/>
      <w:numPr>
        <w:ilvl w:val="0"/>
        <w:numId w:val="3"/>
      </w:numPr>
      <w:jc w:val="left"/>
    </w:pPr>
    <w:rPr>
      <w:rFonts w:cs="宋体"/>
      <w:kern w:val="0"/>
      <w:szCs w:val="21"/>
    </w:rPr>
  </w:style>
  <w:style w:type="paragraph" w:customStyle="1" w:styleId="48">
    <w:name w:val="步骤下图片"/>
    <w:basedOn w:val="1"/>
    <w:qFormat/>
    <w:uiPriority w:val="0"/>
    <w:pPr>
      <w:ind w:left="1276" w:firstLine="0"/>
    </w:pPr>
  </w:style>
  <w:style w:type="paragraph" w:customStyle="1" w:styleId="49">
    <w:name w:val="代码示例"/>
    <w:basedOn w:val="1"/>
    <w:link w:val="50"/>
    <w:qFormat/>
    <w:uiPriority w:val="0"/>
    <w:pPr>
      <w:spacing w:line="240" w:lineRule="auto"/>
      <w:ind w:firstLine="0"/>
    </w:pPr>
    <w:rPr>
      <w:rFonts w:ascii="Courier New" w:hAnsi="Courier New"/>
      <w:color w:val="000000" w:themeColor="text1"/>
      <w:sz w:val="20"/>
      <w:szCs w:val="21"/>
      <w14:textFill>
        <w14:solidFill>
          <w14:schemeClr w14:val="tx1"/>
        </w14:solidFill>
      </w14:textFill>
    </w:rPr>
  </w:style>
  <w:style w:type="character" w:customStyle="1" w:styleId="50">
    <w:name w:val="代码示例 Char"/>
    <w:basedOn w:val="23"/>
    <w:link w:val="49"/>
    <w:qFormat/>
    <w:uiPriority w:val="0"/>
    <w:rPr>
      <w:rFonts w:ascii="Courier New" w:hAnsi="Courier New" w:eastAsia="宋体"/>
      <w:color w:val="000000" w:themeColor="text1"/>
      <w:sz w:val="20"/>
      <w:szCs w:val="21"/>
      <w14:textFill>
        <w14:solidFill>
          <w14:schemeClr w14:val="tx1"/>
        </w14:solidFill>
      </w14:textFill>
    </w:rPr>
  </w:style>
  <w:style w:type="character" w:customStyle="1" w:styleId="51">
    <w:name w:val="批注框文本 字符"/>
    <w:basedOn w:val="23"/>
    <w:link w:val="14"/>
    <w:semiHidden/>
    <w:qFormat/>
    <w:uiPriority w:val="99"/>
    <w:rPr>
      <w:rFonts w:eastAsia="宋体"/>
      <w:sz w:val="18"/>
      <w:szCs w:val="18"/>
    </w:rPr>
  </w:style>
  <w:style w:type="paragraph" w:customStyle="1" w:styleId="52">
    <w:name w:val="1级无序号"/>
    <w:basedOn w:val="2"/>
    <w:next w:val="1"/>
    <w:qFormat/>
    <w:uiPriority w:val="0"/>
    <w:pPr>
      <w:numPr>
        <w:numId w:val="0"/>
      </w:numPr>
    </w:pPr>
  </w:style>
  <w:style w:type="paragraph" w:customStyle="1" w:styleId="53">
    <w:name w:val="2级无序号"/>
    <w:basedOn w:val="4"/>
    <w:next w:val="1"/>
    <w:qFormat/>
    <w:uiPriority w:val="0"/>
    <w:pPr>
      <w:numPr>
        <w:ilvl w:val="0"/>
        <w:numId w:val="0"/>
      </w:numPr>
    </w:pPr>
  </w:style>
  <w:style w:type="paragraph" w:customStyle="1" w:styleId="54">
    <w:name w:val="TOC 标题1"/>
    <w:basedOn w:val="2"/>
    <w:next w:val="1"/>
    <w:unhideWhenUsed/>
    <w:qFormat/>
    <w:uiPriority w:val="39"/>
    <w:pPr>
      <w:numPr>
        <w:numId w:val="0"/>
      </w:numPr>
      <w:spacing w:before="240" w:after="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2E75B6" w:themeColor="accent1" w:themeShade="BF"/>
      <w:kern w:val="0"/>
      <w:sz w:val="32"/>
      <w:szCs w:val="32"/>
    </w:rPr>
  </w:style>
  <w:style w:type="paragraph" w:customStyle="1" w:styleId="55">
    <w:name w:val="引导语（仅适用于制作模板）"/>
    <w:basedOn w:val="1"/>
    <w:qFormat/>
    <w:uiPriority w:val="0"/>
    <w:pPr>
      <w:ind w:firstLine="200" w:firstLineChars="200"/>
    </w:pPr>
    <w:rPr>
      <w:i/>
      <w:color w:val="7F7F7F" w:themeColor="background1" w:themeShade="80"/>
    </w:rPr>
  </w:style>
  <w:style w:type="table" w:customStyle="1" w:styleId="56">
    <w:name w:val="Table"/>
    <w:basedOn w:val="22"/>
    <w:qFormat/>
    <w:uiPriority w:val="0"/>
    <w:pPr>
      <w:spacing w:line="240" w:lineRule="auto"/>
      <w:ind w:firstLine="0"/>
      <w:jc w:val="left"/>
    </w:pPr>
    <w:rPr>
      <w:rFonts w:ascii="Times New Roman" w:hAnsi="Times New Roman" w:eastAsia="宋体" w:cs="Arial"/>
    </w:rPr>
    <w:tblPr/>
    <w:trPr>
      <w:cantSplit/>
    </w:trPr>
    <w:tcPr>
      <w:shd w:val="clear" w:color="auto" w:fill="auto"/>
    </w:tcPr>
    <w:tblStylePr w:type="firstRow">
      <w:rPr>
        <w:b w:val="0"/>
        <w:bCs w:val="0"/>
        <w:i w:val="0"/>
        <w:iCs w:val="0"/>
        <w:color w:val="auto"/>
        <w:sz w:val="20"/>
        <w:szCs w:val="20"/>
      </w:rPr>
      <w:tcPr>
        <w:tc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sz="6" w:space="0"/>
          <w:insideV w:val="single" w:sz="6" w:space="0"/>
          <w:tl2br w:val="nil"/>
          <w:tr2bl w:val="nil"/>
        </w:tcBorders>
        <w:shd w:val="clear" w:color="auto" w:fill="D9D9D9"/>
      </w:tcPr>
    </w:tblStylePr>
  </w:style>
  <w:style w:type="paragraph" w:customStyle="1" w:styleId="57">
    <w:name w:val="Step"/>
    <w:qFormat/>
    <w:uiPriority w:val="0"/>
    <w:pPr>
      <w:numPr>
        <w:ilvl w:val="0"/>
        <w:numId w:val="4"/>
      </w:numPr>
      <w:tabs>
        <w:tab w:val="left" w:pos="1701"/>
      </w:tabs>
      <w:topLinePunct/>
      <w:spacing w:line="360" w:lineRule="auto"/>
    </w:pPr>
    <w:rPr>
      <w:rFonts w:ascii="Times New Roman" w:hAnsi="Times New Roman" w:eastAsia="宋体" w:cstheme="minorBidi"/>
      <w:snapToGrid w:val="0"/>
      <w:sz w:val="21"/>
      <w:szCs w:val="22"/>
      <w:lang w:val="en-US" w:eastAsia="zh-CN" w:bidi="ar-SA"/>
    </w:rPr>
  </w:style>
  <w:style w:type="paragraph" w:customStyle="1" w:styleId="58">
    <w:name w:val="标题五"/>
    <w:basedOn w:val="1"/>
    <w:next w:val="1"/>
    <w:qFormat/>
    <w:uiPriority w:val="0"/>
    <w:pPr>
      <w:spacing w:before="200" w:after="200" w:line="240" w:lineRule="auto"/>
      <w:ind w:firstLine="0"/>
      <w:outlineLvl w:val="4"/>
    </w:pPr>
    <w:rPr>
      <w:b/>
      <w:sz w:val="24"/>
    </w:rPr>
  </w:style>
  <w:style w:type="paragraph" w:customStyle="1" w:styleId="59">
    <w:name w:val="正文下图片"/>
    <w:basedOn w:val="1"/>
    <w:next w:val="1"/>
    <w:qFormat/>
    <w:uiPriority w:val="0"/>
    <w:pPr>
      <w:ind w:left="420" w:firstLine="0"/>
    </w:pPr>
    <w:rPr>
      <w:color w:val="FF0000"/>
    </w:rPr>
  </w:style>
  <w:style w:type="paragraph" w:customStyle="1" w:styleId="60">
    <w:name w:val="项目列举1级"/>
    <w:qFormat/>
    <w:uiPriority w:val="0"/>
    <w:pPr>
      <w:numPr>
        <w:ilvl w:val="0"/>
        <w:numId w:val="5"/>
      </w:numPr>
      <w:spacing w:before="50" w:beforeLines="50" w:after="50" w:afterLines="50"/>
      <w:ind w:left="834" w:hanging="414"/>
      <w:jc w:val="both"/>
    </w:pPr>
    <w:rPr>
      <w:rFonts w:ascii="Times New Roman" w:hAnsi="Times New Roman" w:eastAsia="宋体" w:cstheme="minorBidi"/>
      <w:b/>
      <w:kern w:val="2"/>
      <w:sz w:val="24"/>
      <w:szCs w:val="22"/>
      <w:lang w:val="en-US" w:eastAsia="zh-CN" w:bidi="ar-SA"/>
    </w:rPr>
  </w:style>
  <w:style w:type="paragraph" w:customStyle="1" w:styleId="61">
    <w:name w:val="项目列举下图片"/>
    <w:basedOn w:val="1"/>
    <w:qFormat/>
    <w:uiPriority w:val="0"/>
    <w:pPr>
      <w:ind w:left="868" w:firstLine="0"/>
    </w:pPr>
    <w:rPr>
      <w:color w:val="FF0000"/>
    </w:rPr>
  </w:style>
  <w:style w:type="paragraph" w:customStyle="1" w:styleId="62">
    <w:name w:val="提示说明"/>
    <w:qFormat/>
    <w:uiPriority w:val="0"/>
    <w:rPr>
      <w:rFonts w:ascii="Times New Roman" w:hAnsi="Times New Roman" w:eastAsia="宋体" w:cstheme="minorBidi"/>
      <w:kern w:val="2"/>
      <w:sz w:val="18"/>
      <w:szCs w:val="22"/>
      <w:lang w:val="en-US" w:eastAsia="zh-CN" w:bidi="ar-SA"/>
    </w:rPr>
  </w:style>
  <w:style w:type="character" w:customStyle="1" w:styleId="63">
    <w:name w:val="批注文字 字符"/>
    <w:basedOn w:val="23"/>
    <w:link w:val="12"/>
    <w:semiHidden/>
    <w:qFormat/>
    <w:uiPriority w:val="99"/>
    <w:rPr>
      <w:rFonts w:ascii="Times New Roman" w:hAnsi="Times New Roman" w:eastAsia="宋体"/>
    </w:rPr>
  </w:style>
  <w:style w:type="character" w:customStyle="1" w:styleId="64">
    <w:name w:val="批注主题 字符"/>
    <w:basedOn w:val="63"/>
    <w:link w:val="19"/>
    <w:semiHidden/>
    <w:qFormat/>
    <w:uiPriority w:val="99"/>
    <w:rPr>
      <w:rFonts w:ascii="Times New Roman" w:hAnsi="Times New Roman" w:eastAsia="宋体"/>
      <w:b/>
      <w:bCs/>
    </w:rPr>
  </w:style>
  <w:style w:type="paragraph" w:customStyle="1" w:styleId="65">
    <w:name w:val="附录"/>
    <w:basedOn w:val="52"/>
    <w:next w:val="1"/>
    <w:qFormat/>
    <w:uiPriority w:val="0"/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360政企</Company>
  <Pages>23</Pages>
  <Words>804</Words>
  <Characters>836</Characters>
  <Lines>6</Lines>
  <Paragraphs>1</Paragraphs>
  <TotalTime>6</TotalTime>
  <ScaleCrop>false</ScaleCrop>
  <LinksUpToDate>false</LinksUpToDate>
  <CharactersWithSpaces>841</CharactersWithSpaces>
  <Application>WPS Office_6.6.1.8808_F1E327BC-269C-435d-A152-05C5408002CA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2023-05-25T16:44:00Z</dcterms:created>
  <dc:creator>liguihai</dc:creator>
  <cp:lastModifiedBy>Wayne_H</cp:lastModifiedBy>
  <cp:lastPrinted>2020-04-30T17:33:00Z</cp:lastPrinted>
  <dcterms:modified xsi:type="dcterms:W3CDTF">2026-02-27T11:08:59Z</dcterms:modified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2052-6.6.1.8808</vt:lpwstr>
  </property>
  <property fmtid="{D5CDD505-2E9C-101B-9397-08002B2CF9AE}" pid="3" name="ICV">
    <vt:lpwstr>F4DF97B130D04BE79D2D885DCEF7FCFA_12</vt:lpwstr>
  </property>
</Properties>
</file>