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Oliver Barta</w:t>
      </w:r>
    </w:p>
    <w:p w:rsidR="00000000" w:rsidDel="00000000" w:rsidP="00000000" w:rsidRDefault="00000000" w:rsidRPr="00000000" w14:paraId="0000000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Mrs. Harris</w:t>
      </w:r>
    </w:p>
    <w:p w:rsidR="00000000" w:rsidDel="00000000" w:rsidP="00000000" w:rsidRDefault="00000000" w:rsidRPr="00000000" w14:paraId="0000000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ICS4UI</w:t>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15, 2025</w:t>
      </w:r>
    </w:p>
    <w:p w:rsidR="00000000" w:rsidDel="00000000" w:rsidP="00000000" w:rsidRDefault="00000000" w:rsidRPr="00000000" w14:paraId="0000000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Reflective Essay: What Kind of Future Are We Coding?</w:t>
      </w:r>
    </w:p>
    <w:p w:rsidR="00000000" w:rsidDel="00000000" w:rsidP="00000000" w:rsidRDefault="00000000" w:rsidRPr="00000000" w14:paraId="0000000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rapid advancement of computing technology presents a paradoxical future—one brimming with innovation yet fraught with ethical and environmental challenges. Across class presentations, two core themes emerged repeatedly: the tension between technological progress and societal responsibility, and the environmental cost of computation. These themes were particularly evident in the presentations on Brain-Computer Interfaces (BCIs) and the Theory of Computability, which deepened my understanding of computing’s dual role as both a catalyst for human advancement and a potential source of harm. I am now more acutely aware of how my work will shape society and am committed to balancing innovation with ethical stewardship.</w:t>
      </w:r>
    </w:p>
    <w:p w:rsidR="00000000" w:rsidDel="00000000" w:rsidP="00000000" w:rsidRDefault="00000000" w:rsidRPr="00000000" w14:paraId="0000000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pressing ethical dilemmas highlighted in the BCI presentation was the issue of privacy. BCIs, which can interpret brain signals to control devices or even monitor emotions, raise alarming questions about data ownership and mental privacy. For instance, who has the right to access or profit from neural data? Could governments or corporations exploit this technology for surveillance? This mirrors real-world debates surrounding companies like Neuralink, which aim to commercialize BCIs while facing scrutiny over data security and user consent. Similarly, the Theory of Computability underscored the societal implications of algorithmic decision-making. The Halting Problem, for example, reminds us that not all problems can be solved computationally, urging humility in deploying AI systems for critical tasks like criminal sentencing or healthcare diagnostics. These presentations collectively emphasized that technological innovation must be tempered with frameworks that prioritize human rights and transparency.</w:t>
      </w:r>
    </w:p>
    <w:p w:rsidR="00000000" w:rsidDel="00000000" w:rsidP="00000000" w:rsidRDefault="00000000" w:rsidRPr="00000000" w14:paraId="0000000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environmental impact of computing was another recurring theme. The Theory of Computability presentation highlighted how computational complexity directly influences energy consumption. For instance, solving NP-hard problems like the traveling salesman problem for large datasets requires exponential resources, contributing to the carbon footprint of data centers. This connects to the growing concern over the environmental cost of AI, where training models like GPT-3 consume energy equivalent to hundreds of homes annually. The BCI presentation, meanwhile, touched on the durability and battery limitations of implanted devices, which could lead to electronic waste or frequent surgeries. These insights have reshaped my view of computing’s role in society: it is not just about creating faster or smarter systems, but about designing sustainable solutions that minimize ecological harm.</w:t>
      </w:r>
    </w:p>
    <w:p w:rsidR="00000000" w:rsidDel="00000000" w:rsidP="00000000" w:rsidRDefault="00000000" w:rsidRPr="00000000" w14:paraId="00000009">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future software engineer, I feel a growing responsibility to address these tensions. For example, I am drawn to the field of green computing, where optimizing algorithms for energy efficiency could mitigate the environmental impact of large-scale systems. I also aspire to advocate for ethical guidelines in emerging technologies like BCIs, ensuring they are developed inclusively and transparently. One speculative idea I find compelling is the concept of “algorithmic activism”—using computability theory to identify and avoid computationally wasteful practices in tech industries. Similarly, the BCI presentation inspired me to explore human-centered design principles, ensuring that technologies enhance autonomy rather than exploit vulnerabilities.</w:t>
      </w:r>
    </w:p>
    <w:p w:rsidR="00000000" w:rsidDel="00000000" w:rsidP="00000000" w:rsidRDefault="00000000" w:rsidRPr="00000000" w14:paraId="0000000A">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we are coding for a future that must be one of balance. The presentations on BCIs and computability theory revealed the extraordinary potential of computing to bridge gaps—between humans and machines, problems and solutions—but also its capacity to exacerbate inequalities and environmental degradation. My values as a digital citizen now center on responsibility: to innovate with purpose, to question the societal costs of technology, and to prioritize sustainability in my career. Whether through developing energy-efficient algorithms or advocating for ethical tech policies, I hope to contribute to a future where computing serves humanity equitably and sustainably. The question is not just what we can code, but what we should.</w:t>
      </w:r>
    </w:p>
    <w:p w:rsidR="00000000" w:rsidDel="00000000" w:rsidP="00000000" w:rsidRDefault="00000000" w:rsidRPr="00000000" w14:paraId="0000000B">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Cited</w:t>
      </w:r>
    </w:p>
    <w:p w:rsidR="00000000" w:rsidDel="00000000" w:rsidP="00000000" w:rsidRDefault="00000000" w:rsidRPr="00000000" w14:paraId="0000000E">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 Daniel. “Brain-Computer Interfaces (BCI): Bridging the Gap Between Humans and Machines.” 2025, p. 7.</w:t>
      </w:r>
    </w:p>
    <w:p w:rsidR="00000000" w:rsidDel="00000000" w:rsidP="00000000" w:rsidRDefault="00000000" w:rsidRPr="00000000" w14:paraId="0000000F">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Matthew. “Theory of Computability: Turing Machines and Decidability.” 2025, p. 6.</w:t>
      </w:r>
    </w:p>
    <w:p w:rsidR="00000000" w:rsidDel="00000000" w:rsidP="00000000" w:rsidRDefault="00000000" w:rsidRPr="00000000" w14:paraId="00000010">
      <w:pPr>
        <w:spacing w:line="480" w:lineRule="auto"/>
        <w:ind w:left="0" w:firstLine="0"/>
        <w:rPr>
          <w:rFonts w:ascii="Times New Roman" w:cs="Times New Roman" w:eastAsia="Times New Roman" w:hAnsi="Times New Roman"/>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jc w:val="right"/>
      <w:rPr/>
    </w:pPr>
    <w:r w:rsidDel="00000000" w:rsidR="00000000" w:rsidRPr="00000000">
      <w:rPr>
        <w:rtl w:val="0"/>
      </w:rPr>
      <w:t xml:space="preserve">Barta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JournalArticle</b:SourceType>
    <b:Pages>7</b:Pages>
    <b:Title>Brain-Computer Interfaces (BCI): Bridging the Gap Between Humans and Machines</b:Title>
    <b:Year>2025</b:Year>
    <b:Gdcea>{"AccessedType":"Print"}</b:Gdcea>
    <b:Author>
      <b:Author>
        <b:NameList>
          <b:Person>
            <b:First>Daniel</b:First>
            <b:Last>Li</b:Last>
          </b:Person>
        </b:NameList>
      </b:Author>
    </b:Author>
  </b:Source>
  <b:Source>
    <b:Tag>source2</b:Tag>
    <b:SourceType>JournalArticle</b:SourceType>
    <b:Pages>6</b:Pages>
    <b:Title>Theory of Computability: Turing Machines and Decidability</b:Title>
    <b:Year>2025</b:Year>
    <b:Gdcea>{"AccessedType":"Print"}</b:Gdcea>
    <b:Author>
      <b:Author>
        <b:NameList>
          <b:Person>
            <b:First>Matthew</b:First>
            <b:Last>Yang</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