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3 Assignment – Big Data Visualization on Scale</w:t>
      </w:r>
    </w:p>
    <w:p/>
    <w:p>
      <w:pPr>
        <w:jc w:val="center"/>
      </w:pPr>
      <w:r>
        <w:rPr>
          <w:b/>
        </w:rPr>
        <w:t>AD 688 – Web Analytics</w:t>
        <w:br/>
      </w:r>
      <w:r>
        <w:t>Zifan (Oliver) Chen</w:t>
        <w:br/>
      </w:r>
      <w:r>
        <w:t>2026-03-01</w:t>
      </w:r>
    </w:p>
    <w:p>
      <w:r>
        <w:br w:type="page"/>
      </w:r>
    </w:p>
    <w:p>
      <w:pPr>
        <w:pStyle w:val="Heading1"/>
      </w:pPr>
      <w:r>
        <w:t>Repository</w:t>
      </w:r>
    </w:p>
    <w:p>
      <w:r>
        <w:t>GitHub Repository HTTPS URL:</w:t>
      </w:r>
    </w:p>
    <w:p>
      <w:r>
        <w:t>https://github.com/OliverC17/OliverC17.github.io</w:t>
      </w:r>
    </w:p>
    <w:p/>
    <w:p>
      <w:pPr>
        <w:pStyle w:val="Heading1"/>
      </w:pPr>
      <w:r>
        <w:t>Section 2 – Industry Salary Distribution (Box Plot)</w:t>
      </w:r>
    </w:p>
    <w:p>
      <w:r>
        <w:t>[Missing image file: /home/ubuntu/OliverC17.github.io/_site/Assignment 03/figures/Section2_boxplot.png]</w:t>
      </w:r>
    </w:p>
    <w:p>
      <w:r>
        <w:t>Key Insights:</w:t>
      </w:r>
    </w:p>
    <w:p>
      <w:r>
        <w:t>Across the top 15 NAICS2 industries, full-time positions (32+ hours) consistently demonstrate higher median starting salaries compared to both part-time categories, indicating that compensation premiums are strongly associated with full-time employment status.</w:t>
      </w:r>
    </w:p>
    <w:p>
      <w:r>
        <w:t>Industries such as Information, Finance, and Professional Services exhibit both higher central salary distributions and more extreme upper-end outliers, while sectors like Retail Trade and Other Services show comparatively lower medians and narrower interquartile ranges.</w:t>
      </w:r>
    </w:p>
    <w:p>
      <w:r>
        <w:t>Note: The box plot displays SALARY_FROM values (after removing missing and zero entries) grouped by NAICS2 industry and segmented by employment type.</w:t>
      </w:r>
    </w:p>
    <w:p/>
    <w:p>
      <w:pPr>
        <w:pStyle w:val="Heading1"/>
      </w:pPr>
      <w:r>
        <w:t>Section 3 – Specialized Occupation (Bubble Chart)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3_Bub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Among the top specialized occupations within the Business Intelligence domain, enterprise-level and platform-specific roles (e.g., ERP/Oracle/SAP) tend to exhibit higher median salaries, indicating compensation premiums for advanced or specialized expertise.</w:t>
      </w:r>
    </w:p>
    <w:p>
      <w:r>
        <w:t>Data Analyst roles show the highest posting volume but moderate median compensation, suggesting strong market demand with a broader entry-level representation.</w:t>
      </w:r>
    </w:p>
    <w:p>
      <w:r>
        <w:t>Note: Bubble size represents total job postings; the y-axis reflects the median SALARY_FROM based on non-null salary records.</w:t>
      </w:r>
    </w:p>
    <w:p/>
    <w:p>
      <w:pPr>
        <w:pStyle w:val="Heading1"/>
      </w:pPr>
      <w:r>
        <w:t>Section 4 – Education Level (Scatter Plots)</w:t>
      </w:r>
    </w:p>
    <w:p>
      <w:pPr>
        <w:pStyle w:val="Heading2"/>
      </w:pPr>
      <w:r>
        <w:t>Associate or Lower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ASS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For roles requiring an associate degree or lower, salaries are generally concentrated in the $40k–$90k range across most occupations.</w:t>
      </w:r>
    </w:p>
    <w:p>
      <w:r>
        <w:t>While salary tends to increase modestly with additional experience, the growth slope appears relatively moderate compared to higher education levels.</w:t>
      </w:r>
    </w:p>
    <w:p>
      <w:r>
        <w:t>Technical specialization (e.g., ERP/enterprise roles) can still command higher upper-bound salaries even at lower formal education levels.</w:t>
      </w:r>
    </w:p>
    <w:p/>
    <w:p>
      <w:pPr>
        <w:pStyle w:val="Heading2"/>
      </w:pPr>
      <w:r>
        <w:t>Bachelor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BA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Bachelor-level positions show a clearer positive relationship between experience and salary, with compensation increasingly clustering above $80k beyond 3–5 years.</w:t>
      </w:r>
    </w:p>
    <w:p>
      <w:r>
        <w:t>Specialized technical roles (e.g., Enterprise Architect, SAP/Oracle-related roles) demonstrate higher salary ceilings.</w:t>
      </w:r>
    </w:p>
    <w:p>
      <w:r>
        <w:t>Salary dispersion widens relative to the associate group, suggesting stronger differentiation by role complexity and skills.</w:t>
      </w:r>
    </w:p>
    <w:p/>
    <w:p>
      <w:pPr>
        <w:pStyle w:val="Heading2"/>
      </w:pPr>
      <w:r>
        <w:t>Master</w:t>
      </w:r>
    </w:p>
    <w:p>
      <w:r>
        <w:t>[Missing image file: /home/ubuntu/OliverC17.github.io/_site/Assignment 03/figures/Section4_master.png]</w:t>
      </w:r>
    </w:p>
    <w:p>
      <w:r>
        <w:t>Key Insights:</w:t>
      </w:r>
    </w:p>
    <w:p>
      <w:r>
        <w:t>Master’s degree roles show higher median salary levels and greater variability, with several occupations exceeding $150k at higher experience levels.</w:t>
      </w:r>
    </w:p>
    <w:p>
      <w:r>
        <w:t>Salary progression appears steeper in the early-to-mid career range (roughly 3–6 years), suggesting advanced education may accelerate compensation growth.</w:t>
      </w:r>
    </w:p>
    <w:p>
      <w:r>
        <w:t>High-end outliers indicate premium opportunities for specialized or strategic positions.</w:t>
      </w:r>
    </w:p>
    <w:p/>
    <w:p>
      <w:pPr>
        <w:pStyle w:val="Heading2"/>
      </w:pPr>
      <w:r>
        <w:t>PhD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Ph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PhD-level roles exhibit the highest salary ceilings, though sample sizes tend to be smaller.</w:t>
      </w:r>
    </w:p>
    <w:p>
      <w:r>
        <w:t>Compensation is less tightly clustered and shows substantial dispersion, consistent with niche and senior-level roles.</w:t>
      </w:r>
    </w:p>
    <w:p>
      <w:r>
        <w:t>Experience remains important, while advanced credentials may enable access to higher-paying research-intensive or strategic positions.</w:t>
      </w:r>
    </w:p>
    <w:p>
      <w:r>
        <w:br w:type="page"/>
      </w:r>
    </w:p>
    <w:p>
      <w:pPr>
        <w:pStyle w:val="Heading1"/>
      </w:pPr>
      <w:r>
        <w:t>Section 5 – Remote Work Type (Scatter + Histogram)</w:t>
      </w:r>
    </w:p>
    <w:p>
      <w:pPr>
        <w:pStyle w:val="Heading2"/>
      </w:pPr>
      <w:r>
        <w:t>Remote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5_Remo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Remote roles show salaries that generally increase with experience, with many mid-to-senior positions clustering between $90k and $150k.</w:t>
      </w:r>
    </w:p>
    <w:p>
      <w:r>
        <w:t>Platform-specific roles (e.g., Enterprise/ERP) appear more frequently at higher salary levels, indicating specialization premiums.</w:t>
      </w:r>
    </w:p>
    <w:p>
      <w:r>
        <w:t>Dispersion suggests remote opportunities span both mid-level and advanced analytical roles.</w:t>
      </w:r>
    </w:p>
    <w:p/>
    <w:p>
      <w:pPr>
        <w:pStyle w:val="Heading2"/>
      </w:pPr>
      <w:r>
        <w:t>Hybrid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5_Hyb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Hybrid roles appear limited in sample size compared to remote and onsite categories.</w:t>
      </w:r>
    </w:p>
    <w:p>
      <w:r>
        <w:t>Salary distribution is more concentrated, with fewer extreme high-end outliers, suggesting more standardized compensation bands for hybrid roles.</w:t>
      </w:r>
    </w:p>
    <w:p/>
    <w:p>
      <w:pPr>
        <w:pStyle w:val="Heading2"/>
      </w:pPr>
      <w:r>
        <w:t>Onsite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5_Ons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Onsite roles exhibit a broad salary distribution with visible upper-end outliers, indicating higher compensation potential for specialized or senior positions.</w:t>
      </w:r>
    </w:p>
    <w:p>
      <w:r>
        <w:t>Compared to remote roles, onsite positions show wider dispersion at higher experience levels.</w:t>
      </w:r>
    </w:p>
    <w:p>
      <w:r>
        <w:t>A dense cluster around $70k–$120k suggests this band represents a core compensation range.</w:t>
      </w:r>
    </w:p>
    <w:p/>
    <w:p>
      <w:pPr>
        <w:pStyle w:val="Heading2"/>
      </w:pPr>
      <w:r>
        <w:t>Salary Distribution Comparison (Histogram)</w:t>
      </w:r>
    </w:p>
    <w:p>
      <w:r>
        <w:drawing>
          <wp:inline xmlns:a="http://schemas.openxmlformats.org/drawingml/2006/main" xmlns:pic="http://schemas.openxmlformats.org/drawingml/2006/picture">
            <wp:extent cx="5943600" cy="17014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5_H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Insights:</w:t>
      </w:r>
    </w:p>
    <w:p>
      <w:r>
        <w:t>Both remote and onsite roles share similar central salary ranges (roughly $60k–$120k).</w:t>
      </w:r>
    </w:p>
    <w:p>
      <w:r>
        <w:t>Onsite roles show a heavier right tail with more extreme high-end salaries, while remote roles appear more concentrated in mid-range salary bands.</w:t>
      </w:r>
    </w:p>
    <w:p>
      <w:r>
        <w:t>This suggests comparable baseline pay across arrangements, with onsite offering more extreme upper-bound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