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8A91" w14:textId="77777777" w:rsidR="00F06C1B" w:rsidRDefault="00D0420B">
      <w:pPr>
        <w:pStyle w:val="Title"/>
      </w:pPr>
      <w:r>
        <w:t>Supplementary methods and results</w:t>
      </w:r>
    </w:p>
    <w:p w14:paraId="245AA013" w14:textId="77777777" w:rsidR="00F06C1B" w:rsidRDefault="00D0420B">
      <w:pPr>
        <w:pStyle w:val="Subtitle"/>
      </w:pPr>
      <w:r>
        <w:t>Knowledge-guided relational evidence for functional CAD retrieval</w:t>
      </w:r>
    </w:p>
    <w:p w14:paraId="43BBCE5C" w14:textId="77777777" w:rsidR="00F06C1B" w:rsidRDefault="00D0420B">
      <w:pPr>
        <w:pStyle w:val="Heading1"/>
      </w:pPr>
      <w:r>
        <w:t>S1 Geometric representations and numerical reference</w:t>
      </w:r>
    </w:p>
    <w:p w14:paraId="16E86C43" w14:textId="77777777" w:rsidR="00F06C1B" w:rsidRDefault="00D0420B">
      <w:pPr>
        <w:jc w:val="both"/>
      </w:pPr>
      <w:r>
        <w:t xml:space="preserve">The thirteen descriptor coordinates are the smallest/largest and middle/largest box-extent ratios; solid-volume/box-volume and surface-area/box-surface-area ratios; face, edge and solid counts; planar, cylindrical, conical, toroidal and B-spline face fractions; and circular-edge fraction. Missing values use training medians. Training means and population standard deviations determine standardization, with scale one for deviations below </w:t>
      </w:r>
      <w:r>
        <w:rPr>
          <w:rFonts w:ascii="Consolas" w:hAnsi="Consolas"/>
          <w:sz w:val="18"/>
        </w:rPr>
        <w:t>$10^{-8}$</w:t>
      </w:r>
      <w:r>
        <w:t>. The same transformation applies to validation and test models.</w:t>
      </w:r>
    </w:p>
    <w:p w14:paraId="6D8E1769" w14:textId="77777777" w:rsidR="00F06C1B" w:rsidRDefault="00D0420B">
      <w:pPr>
        <w:jc w:val="both"/>
      </w:pPr>
      <w:r>
        <w:t>The supervised local-surface encoder takes six input channels and uses neighborhood edge blocks of widths 64 and 128. Global maximum, mean and standard-deviation pooling produces 384 coordinates. A 384–256–128 projection uses ReLU and dropout 0.2; a ten-class linear head supplies softmax probabilities. Validation macro-F1 selects epoch 17. The selected encoder, classifier and descriptor normalization remain fixed. Surface sampling and encoder training use seed 42 and are not repeated; three retrieval execut</w:t>
      </w:r>
      <w:r>
        <w:t>ions with order seeds 17, 29 and 43 produce identical local ranking arrays. Thus no training-seed variance is estimated.</w:t>
      </w:r>
    </w:p>
    <w:p w14:paraId="7F250583" w14:textId="77777777" w:rsidR="00F06C1B" w:rsidRDefault="00D0420B">
      <w:pPr>
        <w:jc w:val="both"/>
      </w:pPr>
      <w:r>
        <w:t xml:space="preserve">STEP processing sets the system length unit to 1.0 mm before root transfer, checks non-null shapes with BRepCheck and computes file-axis bounds with BRepBndLib.AddOptimal. Triangulation and shape-tolerance expansion are disabled for these bounds. Declared-unit, valid-shape measurements determine bounded-query eligibility. Unknown or invalid dimensions exclude a candidate from a bounded request. The independent tessellated-surface relevance reference applies face-location transforms, angular deflection 0.25 </w:t>
      </w:r>
      <w:r>
        <w:t>rad and source-specific linear deflection (0.05 mm for the illustrated candidate records).</w:t>
      </w:r>
    </w:p>
    <w:p w14:paraId="4A5161DC" w14:textId="77777777" w:rsidR="00F06C1B" w:rsidRDefault="00D0420B">
      <w:pPr>
        <w:jc w:val="both"/>
      </w:pPr>
      <w:r>
        <w:t>An extent failure receives relevance zero. Missing or quarantined surface evidence, or an extent within 0.2 mm of the requested bound, caps relevance at grade 1. The two unassessable functional judgments retain all admissible grades 0–2 through this rule. Their metric bounds coincide for the reported primary top-five endpoints. This numerical uncertainty treatment remains distinct from uncertainty in the visual model's observations.</w:t>
      </w:r>
    </w:p>
    <w:p w14:paraId="2F2404B9" w14:textId="77777777" w:rsidR="00F06C1B" w:rsidRDefault="00D0420B">
      <w:pPr>
        <w:pStyle w:val="Heading1"/>
      </w:pPr>
      <w:r>
        <w:t>S2 Role priors and visual requirements</w:t>
      </w:r>
    </w:p>
    <w:p w14:paraId="13D5F1D8" w14:textId="562DE467" w:rsidR="00F06C1B" w:rsidRDefault="00D0420B">
      <w:pPr>
        <w:jc w:val="both"/>
      </w:pPr>
      <w:r>
        <w:t xml:space="preserve">Table </w:t>
      </w:r>
      <w:r>
        <w:fldChar w:fldCharType="begin"/>
      </w:r>
      <w:r>
        <w:instrText xml:space="preserve"> REF tab_requirements \h </w:instrText>
      </w:r>
      <w:r>
        <w:fldChar w:fldCharType="separate"/>
      </w:r>
      <w:r w:rsidR="007343E1">
        <w:rPr>
          <w:sz w:val="18"/>
        </w:rPr>
        <w:t>S</w:t>
      </w:r>
      <w:r w:rsidR="007343E1">
        <w:rPr>
          <w:noProof/>
        </w:rPr>
        <w:t>1</w:t>
      </w:r>
      <w:r>
        <w:fldChar w:fldCharType="end"/>
      </w:r>
      <w:r>
        <w:t xml:space="preserve"> specifies the category association and four visual clauses for each role. All admitted class–role associations have unit relevance and inclusion weights. Class probabilities therefore supply category-level function support, while the clauses request candidate-specific interface and binding evidence. Complete wording, subject–relation–object triples and engineering-source references accompany the data.</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99"/>
        <w:gridCol w:w="1109"/>
        <w:gridCol w:w="7142"/>
      </w:tblGrid>
      <w:tr w:rsidR="00F06C1B" w14:paraId="2297CE13" w14:textId="77777777">
        <w:trPr>
          <w:cantSplit/>
          <w:tblHeader/>
          <w:jc w:val="center"/>
        </w:trPr>
        <w:tc>
          <w:tcPr>
            <w:tcW w:w="1699"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11ABADA2" w14:textId="77777777" w:rsidR="00F06C1B" w:rsidRDefault="00D0420B">
            <w:pPr>
              <w:spacing w:after="0" w:line="240" w:lineRule="auto"/>
            </w:pPr>
            <w:r>
              <w:rPr>
                <w:b/>
                <w:sz w:val="18"/>
              </w:rPr>
              <w:t>Role</w:t>
            </w:r>
          </w:p>
        </w:tc>
        <w:tc>
          <w:tcPr>
            <w:tcW w:w="1109"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0230E23E" w14:textId="77777777" w:rsidR="00F06C1B" w:rsidRDefault="00D0420B">
            <w:pPr>
              <w:spacing w:after="0" w:line="240" w:lineRule="auto"/>
            </w:pPr>
            <w:r>
              <w:rPr>
                <w:b/>
                <w:sz w:val="18"/>
              </w:rPr>
              <w:t>Prior class</w:t>
            </w:r>
          </w:p>
        </w:tc>
        <w:tc>
          <w:tcPr>
            <w:tcW w:w="7142"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28641574" w14:textId="77777777" w:rsidR="00F06C1B" w:rsidRDefault="00D0420B">
            <w:pPr>
              <w:spacing w:after="0" w:line="240" w:lineRule="auto"/>
            </w:pPr>
            <w:r>
              <w:rPr>
                <w:b/>
                <w:sz w:val="18"/>
              </w:rPr>
              <w:t>Four visual clauses</w:t>
            </w:r>
          </w:p>
        </w:tc>
      </w:tr>
      <w:tr w:rsidR="00F06C1B" w14:paraId="6A95786F"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34C96B98" w14:textId="77777777" w:rsidR="00F06C1B" w:rsidRDefault="00D0420B">
            <w:pPr>
              <w:spacing w:after="0" w:line="240" w:lineRule="auto"/>
            </w:pPr>
            <w:r>
              <w:rPr>
                <w:sz w:val="18"/>
              </w:rPr>
              <w:t>Shaft support</w:t>
            </w:r>
          </w:p>
        </w:tc>
        <w:tc>
          <w:tcPr>
            <w:tcW w:w="1109" w:type="dxa"/>
            <w:tcBorders>
              <w:top w:val="nil"/>
              <w:left w:val="nil"/>
              <w:bottom w:val="nil"/>
              <w:right w:val="nil"/>
            </w:tcBorders>
            <w:tcMar>
              <w:top w:w="50" w:type="dxa"/>
              <w:left w:w="75" w:type="dxa"/>
              <w:bottom w:w="50" w:type="dxa"/>
              <w:right w:w="75" w:type="dxa"/>
            </w:tcMar>
            <w:vAlign w:val="center"/>
          </w:tcPr>
          <w:p w14:paraId="2E318501" w14:textId="77777777" w:rsidR="00F06C1B" w:rsidRDefault="00D0420B">
            <w:pPr>
              <w:spacing w:after="0" w:line="240" w:lineRule="auto"/>
            </w:pPr>
            <w:r>
              <w:rPr>
                <w:sz w:val="18"/>
              </w:rPr>
              <w:t>bearing</w:t>
            </w:r>
          </w:p>
        </w:tc>
        <w:tc>
          <w:tcPr>
            <w:tcW w:w="7142" w:type="dxa"/>
            <w:tcBorders>
              <w:top w:val="nil"/>
              <w:left w:val="nil"/>
              <w:bottom w:val="nil"/>
              <w:right w:val="nil"/>
            </w:tcBorders>
            <w:tcMar>
              <w:top w:w="50" w:type="dxa"/>
              <w:left w:w="75" w:type="dxa"/>
              <w:bottom w:w="50" w:type="dxa"/>
              <w:right w:w="75" w:type="dxa"/>
            </w:tcMar>
            <w:vAlign w:val="center"/>
          </w:tcPr>
          <w:p w14:paraId="3CC84896" w14:textId="77777777" w:rsidR="00F06C1B" w:rsidRDefault="00D0420B">
            <w:pPr>
              <w:spacing w:after="0" w:line="240" w:lineRule="auto"/>
            </w:pPr>
            <w:r>
              <w:rPr>
                <w:sz w:val="18"/>
              </w:rPr>
              <w:t>Circular seat; carrier mounting interface; seat–mount binding to one body; stationary carrier form.</w:t>
            </w:r>
          </w:p>
        </w:tc>
      </w:tr>
      <w:tr w:rsidR="00F06C1B" w14:paraId="1DD95AE9"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033A2148" w14:textId="77777777" w:rsidR="00F06C1B" w:rsidRDefault="00D0420B">
            <w:pPr>
              <w:spacing w:after="0" w:line="240" w:lineRule="auto"/>
            </w:pPr>
            <w:r>
              <w:rPr>
                <w:sz w:val="18"/>
              </w:rPr>
              <w:t>Shaft connection</w:t>
            </w:r>
          </w:p>
        </w:tc>
        <w:tc>
          <w:tcPr>
            <w:tcW w:w="1109" w:type="dxa"/>
            <w:tcBorders>
              <w:top w:val="nil"/>
              <w:left w:val="nil"/>
              <w:bottom w:val="nil"/>
              <w:right w:val="nil"/>
            </w:tcBorders>
            <w:tcMar>
              <w:top w:w="50" w:type="dxa"/>
              <w:left w:w="75" w:type="dxa"/>
              <w:bottom w:w="50" w:type="dxa"/>
              <w:right w:w="75" w:type="dxa"/>
            </w:tcMar>
            <w:vAlign w:val="center"/>
          </w:tcPr>
          <w:p w14:paraId="681B6A4C" w14:textId="77777777" w:rsidR="00F06C1B" w:rsidRDefault="00D0420B">
            <w:pPr>
              <w:spacing w:after="0" w:line="240" w:lineRule="auto"/>
            </w:pPr>
            <w:r>
              <w:rPr>
                <w:sz w:val="18"/>
              </w:rPr>
              <w:t>coupling</w:t>
            </w:r>
          </w:p>
        </w:tc>
        <w:tc>
          <w:tcPr>
            <w:tcW w:w="7142" w:type="dxa"/>
            <w:tcBorders>
              <w:top w:val="nil"/>
              <w:left w:val="nil"/>
              <w:bottom w:val="nil"/>
              <w:right w:val="nil"/>
            </w:tcBorders>
            <w:tcMar>
              <w:top w:w="50" w:type="dxa"/>
              <w:left w:w="75" w:type="dxa"/>
              <w:bottom w:w="50" w:type="dxa"/>
              <w:right w:w="75" w:type="dxa"/>
            </w:tcMar>
            <w:vAlign w:val="center"/>
          </w:tcPr>
          <w:p w14:paraId="7EC9C6B7" w14:textId="77777777" w:rsidR="00F06C1B" w:rsidRDefault="00D0420B">
            <w:pPr>
              <w:spacing w:after="0" w:line="240" w:lineRule="auto"/>
            </w:pPr>
            <w:r>
              <w:rPr>
                <w:sz w:val="18"/>
              </w:rPr>
              <w:t>Two receiving ends; positive attachment at the first; positive attachment at the second; connection joining them.</w:t>
            </w:r>
          </w:p>
        </w:tc>
      </w:tr>
      <w:tr w:rsidR="00F06C1B" w14:paraId="221EE715"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36815D02" w14:textId="77777777" w:rsidR="00F06C1B" w:rsidRDefault="00D0420B">
            <w:pPr>
              <w:spacing w:after="0" w:line="240" w:lineRule="auto"/>
            </w:pPr>
            <w:r>
              <w:rPr>
                <w:sz w:val="18"/>
              </w:rPr>
              <w:t>Belt wheel</w:t>
            </w:r>
          </w:p>
        </w:tc>
        <w:tc>
          <w:tcPr>
            <w:tcW w:w="1109" w:type="dxa"/>
            <w:tcBorders>
              <w:top w:val="nil"/>
              <w:left w:val="nil"/>
              <w:bottom w:val="nil"/>
              <w:right w:val="nil"/>
            </w:tcBorders>
            <w:tcMar>
              <w:top w:w="50" w:type="dxa"/>
              <w:left w:w="75" w:type="dxa"/>
              <w:bottom w:w="50" w:type="dxa"/>
              <w:right w:w="75" w:type="dxa"/>
            </w:tcMar>
            <w:vAlign w:val="center"/>
          </w:tcPr>
          <w:p w14:paraId="1BD9F0B1" w14:textId="77777777" w:rsidR="00F06C1B" w:rsidRDefault="00D0420B">
            <w:pPr>
              <w:spacing w:after="0" w:line="240" w:lineRule="auto"/>
            </w:pPr>
            <w:r>
              <w:rPr>
                <w:sz w:val="18"/>
              </w:rPr>
              <w:t>pulley</w:t>
            </w:r>
          </w:p>
        </w:tc>
        <w:tc>
          <w:tcPr>
            <w:tcW w:w="7142" w:type="dxa"/>
            <w:tcBorders>
              <w:top w:val="nil"/>
              <w:left w:val="nil"/>
              <w:bottom w:val="nil"/>
              <w:right w:val="nil"/>
            </w:tcBorders>
            <w:tcMar>
              <w:top w:w="50" w:type="dxa"/>
              <w:left w:w="75" w:type="dxa"/>
              <w:bottom w:w="50" w:type="dxa"/>
              <w:right w:w="75" w:type="dxa"/>
            </w:tcMar>
            <w:vAlign w:val="center"/>
          </w:tcPr>
          <w:p w14:paraId="12F37D69" w14:textId="77777777" w:rsidR="00F06C1B" w:rsidRDefault="00D0420B">
            <w:pPr>
              <w:spacing w:after="0" w:line="240" w:lineRule="auto"/>
            </w:pPr>
            <w:r>
              <w:rPr>
                <w:sz w:val="18"/>
              </w:rPr>
              <w:t>Rotating rim; circumferential belt track; belt-profile evidence; track bound to that rim.</w:t>
            </w:r>
          </w:p>
        </w:tc>
      </w:tr>
      <w:tr w:rsidR="00F06C1B" w14:paraId="2F4D7FB9"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1693E47A" w14:textId="77777777" w:rsidR="00F06C1B" w:rsidRDefault="00D0420B">
            <w:pPr>
              <w:spacing w:after="0" w:line="240" w:lineRule="auto"/>
            </w:pPr>
            <w:r>
              <w:rPr>
                <w:sz w:val="18"/>
              </w:rPr>
              <w:t>Threaded clamping</w:t>
            </w:r>
          </w:p>
        </w:tc>
        <w:tc>
          <w:tcPr>
            <w:tcW w:w="1109" w:type="dxa"/>
            <w:tcBorders>
              <w:top w:val="nil"/>
              <w:left w:val="nil"/>
              <w:bottom w:val="nil"/>
              <w:right w:val="nil"/>
            </w:tcBorders>
            <w:tcMar>
              <w:top w:w="50" w:type="dxa"/>
              <w:left w:w="75" w:type="dxa"/>
              <w:bottom w:w="50" w:type="dxa"/>
              <w:right w:w="75" w:type="dxa"/>
            </w:tcMar>
            <w:vAlign w:val="center"/>
          </w:tcPr>
          <w:p w14:paraId="42B0D99D" w14:textId="77777777" w:rsidR="00F06C1B" w:rsidRDefault="00D0420B">
            <w:pPr>
              <w:spacing w:after="0" w:line="240" w:lineRule="auto"/>
            </w:pPr>
            <w:r>
              <w:rPr>
                <w:sz w:val="18"/>
              </w:rPr>
              <w:t>bolt-screw</w:t>
            </w:r>
          </w:p>
        </w:tc>
        <w:tc>
          <w:tcPr>
            <w:tcW w:w="7142" w:type="dxa"/>
            <w:tcBorders>
              <w:top w:val="nil"/>
              <w:left w:val="nil"/>
              <w:bottom w:val="nil"/>
              <w:right w:val="nil"/>
            </w:tcBorders>
            <w:tcMar>
              <w:top w:w="50" w:type="dxa"/>
              <w:left w:w="75" w:type="dxa"/>
              <w:bottom w:w="50" w:type="dxa"/>
              <w:right w:w="75" w:type="dxa"/>
            </w:tcMar>
            <w:vAlign w:val="center"/>
          </w:tcPr>
          <w:p w14:paraId="159925D8" w14:textId="77777777" w:rsidR="00F06C1B" w:rsidRDefault="00D0420B">
            <w:pPr>
              <w:spacing w:after="0" w:line="240" w:lineRule="auto"/>
            </w:pPr>
            <w:r>
              <w:rPr>
                <w:sz w:val="18"/>
              </w:rPr>
              <w:t>Connected head and shank; head bearing face; modeled external shank thread; head turning interface.</w:t>
            </w:r>
          </w:p>
        </w:tc>
      </w:tr>
      <w:tr w:rsidR="00F06C1B" w14:paraId="58876766"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4B29B526" w14:textId="77777777" w:rsidR="00F06C1B" w:rsidRDefault="00D0420B">
            <w:pPr>
              <w:spacing w:after="0" w:line="240" w:lineRule="auto"/>
            </w:pPr>
            <w:r>
              <w:rPr>
                <w:sz w:val="18"/>
              </w:rPr>
              <w:t>Nut retention</w:t>
            </w:r>
          </w:p>
        </w:tc>
        <w:tc>
          <w:tcPr>
            <w:tcW w:w="1109" w:type="dxa"/>
            <w:tcBorders>
              <w:top w:val="nil"/>
              <w:left w:val="nil"/>
              <w:bottom w:val="nil"/>
              <w:right w:val="nil"/>
            </w:tcBorders>
            <w:tcMar>
              <w:top w:w="50" w:type="dxa"/>
              <w:left w:w="75" w:type="dxa"/>
              <w:bottom w:w="50" w:type="dxa"/>
              <w:right w:w="75" w:type="dxa"/>
            </w:tcMar>
            <w:vAlign w:val="center"/>
          </w:tcPr>
          <w:p w14:paraId="1A173D96" w14:textId="77777777" w:rsidR="00F06C1B" w:rsidRDefault="00D0420B">
            <w:pPr>
              <w:spacing w:after="0" w:line="240" w:lineRule="auto"/>
            </w:pPr>
            <w:r>
              <w:rPr>
                <w:sz w:val="18"/>
              </w:rPr>
              <w:t>nut</w:t>
            </w:r>
          </w:p>
        </w:tc>
        <w:tc>
          <w:tcPr>
            <w:tcW w:w="7142" w:type="dxa"/>
            <w:tcBorders>
              <w:top w:val="nil"/>
              <w:left w:val="nil"/>
              <w:bottom w:val="nil"/>
              <w:right w:val="nil"/>
            </w:tcBorders>
            <w:tcMar>
              <w:top w:w="50" w:type="dxa"/>
              <w:left w:w="75" w:type="dxa"/>
              <w:bottom w:w="50" w:type="dxa"/>
              <w:right w:w="75" w:type="dxa"/>
            </w:tcMar>
            <w:vAlign w:val="center"/>
          </w:tcPr>
          <w:p w14:paraId="08A2619D" w14:textId="77777777" w:rsidR="00F06C1B" w:rsidRDefault="00D0420B">
            <w:pPr>
              <w:spacing w:after="0" w:line="240" w:lineRule="auto"/>
            </w:pPr>
            <w:r>
              <w:rPr>
                <w:sz w:val="18"/>
              </w:rPr>
              <w:t>Compact bored body; body turning feature; modeled internal thread; bore/turning-feature binding.</w:t>
            </w:r>
          </w:p>
        </w:tc>
      </w:tr>
      <w:tr w:rsidR="00F06C1B" w14:paraId="50CDB563"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5D96AA11" w14:textId="77777777" w:rsidR="00F06C1B" w:rsidRDefault="00D0420B">
            <w:pPr>
              <w:spacing w:after="0" w:line="240" w:lineRule="auto"/>
            </w:pPr>
            <w:r>
              <w:rPr>
                <w:sz w:val="18"/>
              </w:rPr>
              <w:t>Bracket mounting</w:t>
            </w:r>
          </w:p>
        </w:tc>
        <w:tc>
          <w:tcPr>
            <w:tcW w:w="1109" w:type="dxa"/>
            <w:tcBorders>
              <w:top w:val="nil"/>
              <w:left w:val="nil"/>
              <w:bottom w:val="nil"/>
              <w:right w:val="nil"/>
            </w:tcBorders>
            <w:tcMar>
              <w:top w:w="50" w:type="dxa"/>
              <w:left w:w="75" w:type="dxa"/>
              <w:bottom w:w="50" w:type="dxa"/>
              <w:right w:w="75" w:type="dxa"/>
            </w:tcMar>
            <w:vAlign w:val="center"/>
          </w:tcPr>
          <w:p w14:paraId="78072B3C" w14:textId="77777777" w:rsidR="00F06C1B" w:rsidRDefault="00D0420B">
            <w:pPr>
              <w:spacing w:after="0" w:line="240" w:lineRule="auto"/>
            </w:pPr>
            <w:r>
              <w:rPr>
                <w:sz w:val="18"/>
              </w:rPr>
              <w:t>bracket</w:t>
            </w:r>
          </w:p>
        </w:tc>
        <w:tc>
          <w:tcPr>
            <w:tcW w:w="7142" w:type="dxa"/>
            <w:tcBorders>
              <w:top w:val="nil"/>
              <w:left w:val="nil"/>
              <w:bottom w:val="nil"/>
              <w:right w:val="nil"/>
            </w:tcBorders>
            <w:tcMar>
              <w:top w:w="50" w:type="dxa"/>
              <w:left w:w="75" w:type="dxa"/>
              <w:bottom w:w="50" w:type="dxa"/>
              <w:right w:w="75" w:type="dxa"/>
            </w:tcMar>
            <w:vAlign w:val="center"/>
          </w:tcPr>
          <w:p w14:paraId="46128D90" w14:textId="77777777" w:rsidR="00F06C1B" w:rsidRDefault="00D0420B">
            <w:pPr>
              <w:spacing w:after="0" w:line="240" w:lineRule="auto"/>
            </w:pPr>
            <w:r>
              <w:rPr>
                <w:sz w:val="18"/>
              </w:rPr>
              <w:t>Two angled or offset faces; rigid connection; mounting feature on each region.</w:t>
            </w:r>
          </w:p>
        </w:tc>
      </w:tr>
      <w:tr w:rsidR="00F06C1B" w14:paraId="623D2E97"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7EB47C44" w14:textId="77777777" w:rsidR="00F06C1B" w:rsidRDefault="00D0420B">
            <w:pPr>
              <w:spacing w:after="0" w:line="240" w:lineRule="auto"/>
            </w:pPr>
            <w:r>
              <w:rPr>
                <w:sz w:val="18"/>
              </w:rPr>
              <w:t>Flanged passage</w:t>
            </w:r>
          </w:p>
        </w:tc>
        <w:tc>
          <w:tcPr>
            <w:tcW w:w="1109" w:type="dxa"/>
            <w:tcBorders>
              <w:top w:val="nil"/>
              <w:left w:val="nil"/>
              <w:bottom w:val="nil"/>
              <w:right w:val="nil"/>
            </w:tcBorders>
            <w:tcMar>
              <w:top w:w="50" w:type="dxa"/>
              <w:left w:w="75" w:type="dxa"/>
              <w:bottom w:w="50" w:type="dxa"/>
              <w:right w:w="75" w:type="dxa"/>
            </w:tcMar>
            <w:vAlign w:val="center"/>
          </w:tcPr>
          <w:p w14:paraId="6D102CB8" w14:textId="77777777" w:rsidR="00F06C1B" w:rsidRDefault="00D0420B">
            <w:pPr>
              <w:spacing w:after="0" w:line="240" w:lineRule="auto"/>
            </w:pPr>
            <w:r>
              <w:rPr>
                <w:sz w:val="18"/>
              </w:rPr>
              <w:t>flange</w:t>
            </w:r>
          </w:p>
        </w:tc>
        <w:tc>
          <w:tcPr>
            <w:tcW w:w="7142" w:type="dxa"/>
            <w:tcBorders>
              <w:top w:val="nil"/>
              <w:left w:val="nil"/>
              <w:bottom w:val="nil"/>
              <w:right w:val="nil"/>
            </w:tcBorders>
            <w:tcMar>
              <w:top w:w="50" w:type="dxa"/>
              <w:left w:w="75" w:type="dxa"/>
              <w:bottom w:w="50" w:type="dxa"/>
              <w:right w:w="75" w:type="dxa"/>
            </w:tcMar>
            <w:vAlign w:val="center"/>
          </w:tcPr>
          <w:p w14:paraId="20907DF7" w14:textId="77777777" w:rsidR="00F06C1B" w:rsidRDefault="00D0420B">
            <w:pPr>
              <w:spacing w:after="0" w:line="240" w:lineRule="auto"/>
            </w:pPr>
            <w:r>
              <w:rPr>
                <w:sz w:val="18"/>
              </w:rPr>
              <w:t>Open central passage; surrounding bolt pattern; flat mating face; coaxial register or neck.</w:t>
            </w:r>
          </w:p>
        </w:tc>
      </w:tr>
      <w:tr w:rsidR="00F06C1B" w14:paraId="7DF273D0"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60314A18" w14:textId="77777777" w:rsidR="00F06C1B" w:rsidRDefault="00D0420B">
            <w:pPr>
              <w:spacing w:after="0" w:line="240" w:lineRule="auto"/>
            </w:pPr>
            <w:r>
              <w:rPr>
                <w:sz w:val="18"/>
              </w:rPr>
              <w:t>Gear meshing</w:t>
            </w:r>
          </w:p>
        </w:tc>
        <w:tc>
          <w:tcPr>
            <w:tcW w:w="1109" w:type="dxa"/>
            <w:tcBorders>
              <w:top w:val="nil"/>
              <w:left w:val="nil"/>
              <w:bottom w:val="nil"/>
              <w:right w:val="nil"/>
            </w:tcBorders>
            <w:tcMar>
              <w:top w:w="50" w:type="dxa"/>
              <w:left w:w="75" w:type="dxa"/>
              <w:bottom w:w="50" w:type="dxa"/>
              <w:right w:w="75" w:type="dxa"/>
            </w:tcMar>
            <w:vAlign w:val="center"/>
          </w:tcPr>
          <w:p w14:paraId="5DF4627E" w14:textId="77777777" w:rsidR="00F06C1B" w:rsidRDefault="00D0420B">
            <w:pPr>
              <w:spacing w:after="0" w:line="240" w:lineRule="auto"/>
            </w:pPr>
            <w:r>
              <w:rPr>
                <w:sz w:val="18"/>
              </w:rPr>
              <w:t>gear</w:t>
            </w:r>
          </w:p>
        </w:tc>
        <w:tc>
          <w:tcPr>
            <w:tcW w:w="7142" w:type="dxa"/>
            <w:tcBorders>
              <w:top w:val="nil"/>
              <w:left w:val="nil"/>
              <w:bottom w:val="nil"/>
              <w:right w:val="nil"/>
            </w:tcBorders>
            <w:tcMar>
              <w:top w:w="50" w:type="dxa"/>
              <w:left w:w="75" w:type="dxa"/>
              <w:bottom w:w="50" w:type="dxa"/>
              <w:right w:w="75" w:type="dxa"/>
            </w:tcMar>
            <w:vAlign w:val="center"/>
          </w:tcPr>
          <w:p w14:paraId="03736B92" w14:textId="77777777" w:rsidR="00F06C1B" w:rsidRDefault="00D0420B">
            <w:pPr>
              <w:spacing w:after="0" w:line="240" w:lineRule="auto"/>
            </w:pPr>
            <w:r>
              <w:rPr>
                <w:sz w:val="18"/>
              </w:rPr>
              <w:t>Cylindrical wheel or gear band; external teeth; spur/helical form; exposed meshing band on that cylinder.</w:t>
            </w:r>
          </w:p>
        </w:tc>
      </w:tr>
      <w:tr w:rsidR="00F06C1B" w14:paraId="094EEAB9"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5951E01B" w14:textId="77777777" w:rsidR="00F06C1B" w:rsidRDefault="00D0420B">
            <w:pPr>
              <w:keepNext/>
              <w:spacing w:after="0" w:line="240" w:lineRule="auto"/>
            </w:pPr>
            <w:r>
              <w:rPr>
                <w:sz w:val="18"/>
              </w:rPr>
              <w:t>Shaft transmission</w:t>
            </w:r>
          </w:p>
        </w:tc>
        <w:tc>
          <w:tcPr>
            <w:tcW w:w="1109" w:type="dxa"/>
            <w:tcBorders>
              <w:top w:val="nil"/>
              <w:left w:val="nil"/>
              <w:bottom w:val="nil"/>
              <w:right w:val="nil"/>
            </w:tcBorders>
            <w:tcMar>
              <w:top w:w="50" w:type="dxa"/>
              <w:left w:w="75" w:type="dxa"/>
              <w:bottom w:w="50" w:type="dxa"/>
              <w:right w:w="75" w:type="dxa"/>
            </w:tcMar>
            <w:vAlign w:val="center"/>
          </w:tcPr>
          <w:p w14:paraId="350F5B3A" w14:textId="77777777" w:rsidR="00F06C1B" w:rsidRDefault="00D0420B">
            <w:pPr>
              <w:keepNext/>
              <w:spacing w:after="0" w:line="240" w:lineRule="auto"/>
            </w:pPr>
            <w:r>
              <w:rPr>
                <w:sz w:val="18"/>
              </w:rPr>
              <w:t>shaft</w:t>
            </w:r>
          </w:p>
        </w:tc>
        <w:tc>
          <w:tcPr>
            <w:tcW w:w="7142" w:type="dxa"/>
            <w:tcBorders>
              <w:top w:val="nil"/>
              <w:left w:val="nil"/>
              <w:bottom w:val="nil"/>
              <w:right w:val="nil"/>
            </w:tcBorders>
            <w:tcMar>
              <w:top w:w="50" w:type="dxa"/>
              <w:left w:w="75" w:type="dxa"/>
              <w:bottom w:w="50" w:type="dxa"/>
              <w:right w:w="75" w:type="dxa"/>
            </w:tcMar>
            <w:vAlign w:val="center"/>
          </w:tcPr>
          <w:p w14:paraId="292B9DBB" w14:textId="77777777" w:rsidR="00F06C1B" w:rsidRDefault="00D0420B">
            <w:pPr>
              <w:keepNext/>
              <w:spacing w:after="0" w:line="240" w:lineRule="auto"/>
            </w:pPr>
            <w:r>
              <w:rPr>
                <w:sz w:val="18"/>
              </w:rPr>
              <w:t>Elongated body; journal regions; drive feature on that body; rotary shaft form.</w:t>
            </w:r>
          </w:p>
        </w:tc>
      </w:tr>
      <w:tr w:rsidR="00F06C1B" w14:paraId="317DE1F1" w14:textId="77777777">
        <w:trPr>
          <w:cantSplit/>
          <w:jc w:val="center"/>
        </w:trPr>
        <w:tc>
          <w:tcPr>
            <w:tcW w:w="1699" w:type="dxa"/>
            <w:tcBorders>
              <w:top w:val="nil"/>
              <w:left w:val="nil"/>
              <w:bottom w:val="nil"/>
              <w:right w:val="nil"/>
            </w:tcBorders>
            <w:tcMar>
              <w:top w:w="50" w:type="dxa"/>
              <w:left w:w="75" w:type="dxa"/>
              <w:bottom w:w="50" w:type="dxa"/>
              <w:right w:w="75" w:type="dxa"/>
            </w:tcMar>
            <w:vAlign w:val="center"/>
          </w:tcPr>
          <w:p w14:paraId="338F823D" w14:textId="77777777" w:rsidR="00F06C1B" w:rsidRDefault="00D0420B">
            <w:pPr>
              <w:keepNext/>
              <w:spacing w:after="0" w:line="240" w:lineRule="auto"/>
            </w:pPr>
            <w:r>
              <w:rPr>
                <w:sz w:val="18"/>
              </w:rPr>
              <w:t>Compression return</w:t>
            </w:r>
          </w:p>
        </w:tc>
        <w:tc>
          <w:tcPr>
            <w:tcW w:w="1109" w:type="dxa"/>
            <w:tcBorders>
              <w:top w:val="nil"/>
              <w:left w:val="nil"/>
              <w:bottom w:val="nil"/>
              <w:right w:val="nil"/>
            </w:tcBorders>
            <w:tcMar>
              <w:top w:w="50" w:type="dxa"/>
              <w:left w:w="75" w:type="dxa"/>
              <w:bottom w:w="50" w:type="dxa"/>
              <w:right w:w="75" w:type="dxa"/>
            </w:tcMar>
            <w:vAlign w:val="center"/>
          </w:tcPr>
          <w:p w14:paraId="23843F7E" w14:textId="77777777" w:rsidR="00F06C1B" w:rsidRDefault="00D0420B">
            <w:pPr>
              <w:keepNext/>
              <w:spacing w:after="0" w:line="240" w:lineRule="auto"/>
            </w:pPr>
            <w:r>
              <w:rPr>
                <w:sz w:val="18"/>
              </w:rPr>
              <w:t>spring</w:t>
            </w:r>
          </w:p>
        </w:tc>
        <w:tc>
          <w:tcPr>
            <w:tcW w:w="7142" w:type="dxa"/>
            <w:tcBorders>
              <w:top w:val="nil"/>
              <w:left w:val="nil"/>
              <w:bottom w:val="nil"/>
              <w:right w:val="nil"/>
            </w:tcBorders>
            <w:tcMar>
              <w:top w:w="50" w:type="dxa"/>
              <w:left w:w="75" w:type="dxa"/>
              <w:bottom w:w="50" w:type="dxa"/>
              <w:right w:w="75" w:type="dxa"/>
            </w:tcMar>
            <w:vAlign w:val="center"/>
          </w:tcPr>
          <w:p w14:paraId="23849CBE" w14:textId="77777777" w:rsidR="00F06C1B" w:rsidRDefault="00D0420B">
            <w:pPr>
              <w:keepNext/>
              <w:spacing w:after="0" w:line="240" w:lineRule="auto"/>
            </w:pPr>
            <w:r>
              <w:rPr>
                <w:sz w:val="18"/>
              </w:rPr>
              <w:t>Helical coil; open pitch; axial seating ends; ends free of hooks or torsion arms.</w:t>
            </w:r>
          </w:p>
        </w:tc>
      </w:tr>
      <w:tr w:rsidR="00F06C1B" w14:paraId="3D578FB1" w14:textId="77777777">
        <w:trPr>
          <w:cantSplit/>
          <w:jc w:val="center"/>
        </w:trPr>
        <w:tc>
          <w:tcPr>
            <w:tcW w:w="1699" w:type="dxa"/>
            <w:tcBorders>
              <w:top w:val="nil"/>
              <w:left w:val="nil"/>
              <w:bottom w:val="single" w:sz="8" w:space="0" w:color="000000"/>
              <w:right w:val="nil"/>
            </w:tcBorders>
            <w:tcMar>
              <w:top w:w="50" w:type="dxa"/>
              <w:left w:w="75" w:type="dxa"/>
              <w:bottom w:w="50" w:type="dxa"/>
              <w:right w:w="75" w:type="dxa"/>
            </w:tcMar>
            <w:vAlign w:val="center"/>
          </w:tcPr>
          <w:p w14:paraId="4551A7E0" w14:textId="77777777" w:rsidR="00F06C1B" w:rsidRDefault="00D0420B">
            <w:pPr>
              <w:keepNext/>
              <w:spacing w:after="0" w:line="240" w:lineRule="auto"/>
            </w:pPr>
            <w:r>
              <w:rPr>
                <w:sz w:val="18"/>
              </w:rPr>
              <w:t>Tension return</w:t>
            </w:r>
          </w:p>
        </w:tc>
        <w:tc>
          <w:tcPr>
            <w:tcW w:w="1109" w:type="dxa"/>
            <w:tcBorders>
              <w:top w:val="nil"/>
              <w:left w:val="nil"/>
              <w:bottom w:val="single" w:sz="8" w:space="0" w:color="000000"/>
              <w:right w:val="nil"/>
            </w:tcBorders>
            <w:tcMar>
              <w:top w:w="50" w:type="dxa"/>
              <w:left w:w="75" w:type="dxa"/>
              <w:bottom w:w="50" w:type="dxa"/>
              <w:right w:w="75" w:type="dxa"/>
            </w:tcMar>
            <w:vAlign w:val="center"/>
          </w:tcPr>
          <w:p w14:paraId="68A22798" w14:textId="77777777" w:rsidR="00F06C1B" w:rsidRDefault="00D0420B">
            <w:pPr>
              <w:keepNext/>
              <w:spacing w:after="0" w:line="240" w:lineRule="auto"/>
            </w:pPr>
            <w:r>
              <w:rPr>
                <w:sz w:val="18"/>
              </w:rPr>
              <w:t>spring</w:t>
            </w:r>
          </w:p>
        </w:tc>
        <w:tc>
          <w:tcPr>
            <w:tcW w:w="7142" w:type="dxa"/>
            <w:tcBorders>
              <w:top w:val="nil"/>
              <w:left w:val="nil"/>
              <w:bottom w:val="single" w:sz="8" w:space="0" w:color="000000"/>
              <w:right w:val="nil"/>
            </w:tcBorders>
            <w:tcMar>
              <w:top w:w="50" w:type="dxa"/>
              <w:left w:w="75" w:type="dxa"/>
              <w:bottom w:w="50" w:type="dxa"/>
              <w:right w:w="75" w:type="dxa"/>
            </w:tcMar>
            <w:vAlign w:val="center"/>
          </w:tcPr>
          <w:p w14:paraId="2FD5EFA6" w14:textId="77777777" w:rsidR="00F06C1B" w:rsidRDefault="00D0420B">
            <w:pPr>
              <w:keepNext/>
              <w:spacing w:after="0" w:line="240" w:lineRule="auto"/>
            </w:pPr>
            <w:r>
              <w:rPr>
                <w:sz w:val="18"/>
              </w:rPr>
              <w:t>Helical coil; first terminal hook; second terminal hook; opposite-end attachments on the same coil.</w:t>
            </w:r>
          </w:p>
        </w:tc>
      </w:tr>
    </w:tbl>
    <w:p w14:paraId="633051B7" w14:textId="7EA3412E" w:rsidR="00F06C1B" w:rsidRDefault="00D0420B">
      <w:pPr>
        <w:pStyle w:val="Caption"/>
        <w:keepLines/>
        <w:spacing w:before="100" w:after="180"/>
      </w:pPr>
      <w:r>
        <w:t xml:space="preserve">Table </w:t>
      </w:r>
      <w:bookmarkStart w:id="0" w:name="tab_requirements"/>
      <w:r>
        <w:t>S</w:t>
      </w:r>
      <w:r>
        <w:fldChar w:fldCharType="begin"/>
      </w:r>
      <w:r>
        <w:instrText xml:space="preserve"> SEQ Table \* ARABIC </w:instrText>
      </w:r>
      <w:r>
        <w:fldChar w:fldCharType="separate"/>
      </w:r>
      <w:r w:rsidR="007343E1">
        <w:rPr>
          <w:noProof/>
        </w:rPr>
        <w:t>1</w:t>
      </w:r>
      <w:r>
        <w:fldChar w:fldCharType="end"/>
      </w:r>
      <w:bookmarkEnd w:id="0"/>
      <w:r>
        <w:t xml:space="preserve">. </w:t>
      </w:r>
      <w:r>
        <w:t>Category priors and visual clauses. Each role has four clauses; the bracket's two mounting clauses are expressed together for readability. Clauses specify preliminary visible support, not verification of materials, loading, fit or tolerance.</w:t>
      </w:r>
    </w:p>
    <w:p w14:paraId="4FBBC035" w14:textId="77777777" w:rsidR="00F06C1B" w:rsidRDefault="00D0420B">
      <w:pPr>
        <w:jc w:val="both"/>
      </w:pPr>
      <w:r>
        <w:lastRenderedPageBreak/>
        <w:t>The input montage contains oblique, opposite, profile and axial views and two uncapped display clips. Instructions distinguish clip openings from real passages. KG-directed observers receive the four clauses and their bindings; holistic Luna receives the plain role purpose and the same generic guidance. Neither input contains class probabilities, rankings, relevance labels, exemplar identities or numerical size constraints. KG states are yes, no or unknown, each with cited views and a short literal descript</w:t>
      </w:r>
      <w:r>
        <w:t>ion. Unknown covers occlusion, simplified geometry and ambiguity. Both GPT models use low reasoning effort, a 2,000-token output limit and a strict structured schema.</w:t>
      </w:r>
    </w:p>
    <w:p w14:paraId="70C98C37" w14:textId="77777777" w:rsidR="00F06C1B" w:rsidRDefault="00D0420B">
      <w:pPr>
        <w:jc w:val="both"/>
      </w:pPr>
      <w:r>
        <w:t xml:space="preserve">Holistic support uses </w:t>
      </w:r>
      <w:r>
        <w:rPr>
          <w:rFonts w:ascii="Consolas" w:hAnsi="Consolas"/>
          <w:sz w:val="18"/>
        </w:rPr>
        <w:t>$J\in\{0,1/8,\ldots,1\}$</w:t>
      </w:r>
      <w:r>
        <w:t xml:space="preserve">, with zero for visible incompatibility, one for strong support and one half for unresolved support. This matches the range and increments of four-clause coverage </w:t>
      </w:r>
      <w:r>
        <w:rPr>
          <w:i/>
        </w:rPr>
        <w:t>H</w:t>
      </w:r>
      <w:r>
        <w:t>. Both inputs request view-linked evidence. Invalid or failed assessments receive whole-record neutral support of one half. This fallback applies to 18 of the 18,756 observations across all nine collections (0.10%); all remain in their assigned collections. The three-collection comparison retains the original KG collection for each model and two further contract-identical collections. Consequently the comparison is conditional on the existing query and relevance panel.</w:t>
      </w:r>
    </w:p>
    <w:p w14:paraId="7F150772" w14:textId="77777777" w:rsidR="00F06C1B" w:rsidRDefault="00D0420B">
      <w:pPr>
        <w:pStyle w:val="Heading1"/>
      </w:pPr>
      <w:r>
        <w:t>S3 Query design and statistical comparisons</w:t>
      </w:r>
    </w:p>
    <w:p w14:paraId="64CBAF27" w14:textId="77777777" w:rsidR="00F06C1B" w:rsidRDefault="00D0420B">
      <w:pPr>
        <w:jc w:val="both"/>
      </w:pPr>
      <w:r>
        <w:t>The primary 264 queries cross eleven roles, four training exemplars per role and six size conditions. Eligible exemplars have distinct STEP bytes, with validation/test exact-byte overlaps and previously used exemplars excluded. Selection proceeds by farthest-point distance in training-normalized descriptor space from development anchors. Neutral-view assessment retains the first four grade-1/2 exemplars per role, including reserve candidates when necessary. Assessment covers 126 of 156 ordered candidates an</w:t>
      </w:r>
      <w:r>
        <w:t>d yields 37 strong and seven conditional exemplars. Category labels, previous judgments and retrieval outcomes are hidden during source assessment; reserve selection is aware of aggregate shortages. Descriptor-conditioned sampling and prior dataset inspection limit external generalization.</w:t>
      </w:r>
    </w:p>
    <w:p w14:paraId="750B460E" w14:textId="77777777" w:rsidR="00F06C1B" w:rsidRDefault="00D0420B">
      <w:pPr>
        <w:jc w:val="both"/>
      </w:pPr>
      <w:r>
        <w:t>Each exemplar supplies one unbounded query and five upper bounds from validation extent quantiles 0.10, 0.25, 0.50, 0.75 and 0.90. Linear interpolation and rounding to six decimal places define the bounds; exact test-source overlaps are excluded from the validation measurements. The panel therefore contains 44 unbounded and 220 bounded queries. The gallery, query exemplars, dimensional evidence, role clauses, candidate pools and scoring weights are common to all methods.</w:t>
      </w:r>
    </w:p>
    <w:p w14:paraId="4C8B6D96" w14:textId="59568741" w:rsidR="00F06C1B" w:rsidRDefault="00D0420B">
      <w:pPr>
        <w:jc w:val="both"/>
      </w:pPr>
      <w:r>
        <w:t xml:space="preserve">Metrics first average six conditions within each exemplar, four exemplars within each role and eleven roles equally. Means and sample SDs describe three complete response collections; the SD denominator is two. For statistical contrasts, collection effects are first averaged within each role. Eleven paired role effects, rather than 33 role–collection observations, are the inferential units. Exact two-sided sign flips enumerate 2,048 patterns; one Holm correction covers the four nDCG@5 contrasts in Table </w:t>
      </w:r>
      <w:r>
        <w:fldChar w:fldCharType="begin"/>
      </w:r>
      <w:r>
        <w:instrText xml:space="preserve"> REF tab_contrasts \h </w:instrText>
      </w:r>
      <w:r>
        <w:fldChar w:fldCharType="separate"/>
      </w:r>
      <w:r w:rsidR="007343E1">
        <w:rPr>
          <w:sz w:val="18"/>
        </w:rPr>
        <w:t>S</w:t>
      </w:r>
      <w:r w:rsidR="007343E1">
        <w:rPr>
          <w:noProof/>
        </w:rPr>
        <w:t>2</w:t>
      </w:r>
      <w:r>
        <w:fldChar w:fldCharType="end"/>
      </w:r>
      <w:r>
        <w:t>. Percentile intervals use 20,000 role-bootstrap resamples with seed 20261023 and are unadjusted. Sign exchangeability of the role effects is assumed. These intervals and acquisition SDs quantify different sources of uncertainty.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95"/>
        <w:gridCol w:w="2016"/>
        <w:gridCol w:w="1037"/>
        <w:gridCol w:w="2419"/>
        <w:gridCol w:w="1109"/>
        <w:gridCol w:w="907"/>
      </w:tblGrid>
      <w:tr w:rsidR="00F06C1B" w14:paraId="1D216C01" w14:textId="77777777">
        <w:trPr>
          <w:cantSplit/>
          <w:tblHeader/>
          <w:jc w:val="center"/>
        </w:trPr>
        <w:tc>
          <w:tcPr>
            <w:tcW w:w="1195"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1BF7FFEA" w14:textId="77777777" w:rsidR="00F06C1B" w:rsidRDefault="00D0420B">
            <w:pPr>
              <w:spacing w:after="0" w:line="240" w:lineRule="auto"/>
            </w:pPr>
            <w:r>
              <w:rPr>
                <w:b/>
                <w:sz w:val="16"/>
              </w:rPr>
              <w:t>Representation</w:t>
            </w:r>
          </w:p>
        </w:tc>
        <w:tc>
          <w:tcPr>
            <w:tcW w:w="2016"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1421877B" w14:textId="77777777" w:rsidR="00F06C1B" w:rsidRDefault="00D0420B">
            <w:pPr>
              <w:spacing w:after="0" w:line="240" w:lineRule="auto"/>
              <w:jc w:val="center"/>
            </w:pPr>
            <w:r>
              <w:rPr>
                <w:b/>
                <w:sz w:val="16"/>
              </w:rPr>
              <w:t>Contrast</w:t>
            </w:r>
          </w:p>
        </w:tc>
        <w:tc>
          <w:tcPr>
            <w:tcW w:w="1037"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65573A7F" w14:textId="77777777" w:rsidR="00F06C1B" w:rsidRDefault="00D0420B">
            <w:pPr>
              <w:spacing w:after="0" w:line="240" w:lineRule="auto"/>
              <w:jc w:val="center"/>
            </w:pPr>
            <w:r>
              <w:rPr>
                <w:b/>
                <w:sz w:val="16"/>
              </w:rPr>
              <w:t>Δ nDCG@5</w:t>
            </w:r>
          </w:p>
        </w:tc>
        <w:tc>
          <w:tcPr>
            <w:tcW w:w="2419"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5E6BF88B" w14:textId="77777777" w:rsidR="00F06C1B" w:rsidRDefault="00D0420B">
            <w:pPr>
              <w:spacing w:after="0" w:line="240" w:lineRule="auto"/>
              <w:jc w:val="center"/>
            </w:pPr>
            <w:r>
              <w:rPr>
                <w:b/>
                <w:sz w:val="16"/>
              </w:rPr>
              <w:t>95% interval</w:t>
            </w:r>
          </w:p>
        </w:tc>
        <w:tc>
          <w:tcPr>
            <w:tcW w:w="1109"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6F2AE79A" w14:textId="77777777" w:rsidR="00F06C1B" w:rsidRDefault="00D0420B">
            <w:pPr>
              <w:spacing w:after="0" w:line="240" w:lineRule="auto"/>
              <w:jc w:val="center"/>
            </w:pPr>
            <w:r>
              <w:rPr>
                <w:b/>
                <w:sz w:val="16"/>
              </w:rPr>
              <w:t>Holm p</w:t>
            </w:r>
          </w:p>
        </w:tc>
        <w:tc>
          <w:tcPr>
            <w:tcW w:w="907" w:type="dxa"/>
            <w:tcBorders>
              <w:top w:val="single" w:sz="8" w:space="0" w:color="000000"/>
              <w:left w:val="nil"/>
              <w:bottom w:val="single" w:sz="4" w:space="0" w:color="000000"/>
              <w:right w:val="nil"/>
            </w:tcBorders>
            <w:tcMar>
              <w:top w:w="50" w:type="dxa"/>
              <w:left w:w="75" w:type="dxa"/>
              <w:bottom w:w="50" w:type="dxa"/>
              <w:right w:w="75" w:type="dxa"/>
            </w:tcMar>
            <w:vAlign w:val="center"/>
          </w:tcPr>
          <w:p w14:paraId="5C03E97E" w14:textId="77777777" w:rsidR="00F06C1B" w:rsidRDefault="00D0420B">
            <w:pPr>
              <w:spacing w:after="0" w:line="240" w:lineRule="auto"/>
              <w:jc w:val="center"/>
            </w:pPr>
            <w:r>
              <w:rPr>
                <w:b/>
                <w:sz w:val="16"/>
              </w:rPr>
              <w:t>W/T/L</w:t>
            </w:r>
          </w:p>
        </w:tc>
      </w:tr>
      <w:tr w:rsidR="00F06C1B" w14:paraId="7D92A37C" w14:textId="77777777">
        <w:trPr>
          <w:cantSplit/>
          <w:jc w:val="center"/>
        </w:trPr>
        <w:tc>
          <w:tcPr>
            <w:tcW w:w="1195" w:type="dxa"/>
            <w:tcBorders>
              <w:top w:val="nil"/>
              <w:left w:val="nil"/>
              <w:bottom w:val="nil"/>
              <w:right w:val="nil"/>
            </w:tcBorders>
            <w:tcMar>
              <w:top w:w="50" w:type="dxa"/>
              <w:left w:w="75" w:type="dxa"/>
              <w:bottom w:w="50" w:type="dxa"/>
              <w:right w:w="75" w:type="dxa"/>
            </w:tcMar>
            <w:vAlign w:val="center"/>
          </w:tcPr>
          <w:p w14:paraId="2639250D" w14:textId="77777777" w:rsidR="00F06C1B" w:rsidRDefault="00D0420B">
            <w:pPr>
              <w:spacing w:after="0" w:line="240" w:lineRule="auto"/>
            </w:pPr>
            <w:r>
              <w:rPr>
                <w:sz w:val="16"/>
              </w:rPr>
              <w:t>Embedding</w:t>
            </w:r>
          </w:p>
        </w:tc>
        <w:tc>
          <w:tcPr>
            <w:tcW w:w="2016" w:type="dxa"/>
            <w:tcBorders>
              <w:top w:val="nil"/>
              <w:left w:val="nil"/>
              <w:bottom w:val="nil"/>
              <w:right w:val="nil"/>
            </w:tcBorders>
            <w:tcMar>
              <w:top w:w="50" w:type="dxa"/>
              <w:left w:w="75" w:type="dxa"/>
              <w:bottom w:w="50" w:type="dxa"/>
              <w:right w:w="75" w:type="dxa"/>
            </w:tcMar>
            <w:vAlign w:val="center"/>
          </w:tcPr>
          <w:p w14:paraId="794F3085" w14:textId="77777777" w:rsidR="00F06C1B" w:rsidRDefault="00D0420B">
            <w:pPr>
              <w:spacing w:after="0" w:line="240" w:lineRule="auto"/>
              <w:jc w:val="center"/>
            </w:pPr>
            <w:r>
              <w:rPr>
                <w:sz w:val="16"/>
              </w:rPr>
              <w:t>KG Luna − Full+J</w:t>
            </w:r>
          </w:p>
        </w:tc>
        <w:tc>
          <w:tcPr>
            <w:tcW w:w="1037" w:type="dxa"/>
            <w:tcBorders>
              <w:top w:val="nil"/>
              <w:left w:val="nil"/>
              <w:bottom w:val="nil"/>
              <w:right w:val="nil"/>
            </w:tcBorders>
            <w:tcMar>
              <w:top w:w="50" w:type="dxa"/>
              <w:left w:w="75" w:type="dxa"/>
              <w:bottom w:w="50" w:type="dxa"/>
              <w:right w:w="75" w:type="dxa"/>
            </w:tcMar>
            <w:vAlign w:val="center"/>
          </w:tcPr>
          <w:p w14:paraId="6E05657C" w14:textId="77777777" w:rsidR="00F06C1B" w:rsidRDefault="00D0420B">
            <w:pPr>
              <w:spacing w:after="0" w:line="240" w:lineRule="auto"/>
              <w:jc w:val="right"/>
            </w:pPr>
            <w:r>
              <w:rPr>
                <w:sz w:val="16"/>
              </w:rPr>
              <w:t>+0.0447</w:t>
            </w:r>
          </w:p>
        </w:tc>
        <w:tc>
          <w:tcPr>
            <w:tcW w:w="2419" w:type="dxa"/>
            <w:tcBorders>
              <w:top w:val="nil"/>
              <w:left w:val="nil"/>
              <w:bottom w:val="nil"/>
              <w:right w:val="nil"/>
            </w:tcBorders>
            <w:tcMar>
              <w:top w:w="50" w:type="dxa"/>
              <w:left w:w="75" w:type="dxa"/>
              <w:bottom w:w="50" w:type="dxa"/>
              <w:right w:w="75" w:type="dxa"/>
            </w:tcMar>
            <w:vAlign w:val="center"/>
          </w:tcPr>
          <w:p w14:paraId="601339F6" w14:textId="77777777" w:rsidR="00F06C1B" w:rsidRDefault="00D0420B">
            <w:pPr>
              <w:spacing w:after="0" w:line="240" w:lineRule="auto"/>
              <w:jc w:val="right"/>
            </w:pPr>
            <w:r>
              <w:rPr>
                <w:sz w:val="16"/>
              </w:rPr>
              <w:t>[+0.0115, +0.0768]</w:t>
            </w:r>
          </w:p>
        </w:tc>
        <w:tc>
          <w:tcPr>
            <w:tcW w:w="1109" w:type="dxa"/>
            <w:tcBorders>
              <w:top w:val="nil"/>
              <w:left w:val="nil"/>
              <w:bottom w:val="nil"/>
              <w:right w:val="nil"/>
            </w:tcBorders>
            <w:tcMar>
              <w:top w:w="50" w:type="dxa"/>
              <w:left w:w="75" w:type="dxa"/>
              <w:bottom w:w="50" w:type="dxa"/>
              <w:right w:w="75" w:type="dxa"/>
            </w:tcMar>
            <w:vAlign w:val="center"/>
          </w:tcPr>
          <w:p w14:paraId="5CA36C34" w14:textId="77777777" w:rsidR="00F06C1B" w:rsidRDefault="00D0420B">
            <w:pPr>
              <w:spacing w:after="0" w:line="240" w:lineRule="auto"/>
              <w:jc w:val="right"/>
            </w:pPr>
            <w:r>
              <w:rPr>
                <w:sz w:val="16"/>
              </w:rPr>
              <w:t>0.090820</w:t>
            </w:r>
          </w:p>
        </w:tc>
        <w:tc>
          <w:tcPr>
            <w:tcW w:w="907" w:type="dxa"/>
            <w:tcBorders>
              <w:top w:val="nil"/>
              <w:left w:val="nil"/>
              <w:bottom w:val="nil"/>
              <w:right w:val="nil"/>
            </w:tcBorders>
            <w:tcMar>
              <w:top w:w="50" w:type="dxa"/>
              <w:left w:w="75" w:type="dxa"/>
              <w:bottom w:w="50" w:type="dxa"/>
              <w:right w:w="75" w:type="dxa"/>
            </w:tcMar>
            <w:vAlign w:val="center"/>
          </w:tcPr>
          <w:p w14:paraId="047AFEEE" w14:textId="77777777" w:rsidR="00F06C1B" w:rsidRDefault="00D0420B">
            <w:pPr>
              <w:spacing w:after="0" w:line="240" w:lineRule="auto"/>
              <w:jc w:val="right"/>
            </w:pPr>
            <w:r>
              <w:rPr>
                <w:sz w:val="16"/>
              </w:rPr>
              <w:t>9/0/2</w:t>
            </w:r>
          </w:p>
        </w:tc>
      </w:tr>
      <w:tr w:rsidR="00F06C1B" w14:paraId="13D459CC" w14:textId="77777777">
        <w:trPr>
          <w:cantSplit/>
          <w:jc w:val="center"/>
        </w:trPr>
        <w:tc>
          <w:tcPr>
            <w:tcW w:w="1195" w:type="dxa"/>
            <w:tcBorders>
              <w:top w:val="nil"/>
              <w:left w:val="nil"/>
              <w:bottom w:val="nil"/>
              <w:right w:val="nil"/>
            </w:tcBorders>
            <w:tcMar>
              <w:top w:w="50" w:type="dxa"/>
              <w:left w:w="75" w:type="dxa"/>
              <w:bottom w:w="50" w:type="dxa"/>
              <w:right w:w="75" w:type="dxa"/>
            </w:tcMar>
            <w:vAlign w:val="center"/>
          </w:tcPr>
          <w:p w14:paraId="7D96C0A2" w14:textId="77777777" w:rsidR="00F06C1B" w:rsidRDefault="00D0420B">
            <w:pPr>
              <w:spacing w:after="0" w:line="240" w:lineRule="auto"/>
            </w:pPr>
            <w:r>
              <w:rPr>
                <w:sz w:val="16"/>
              </w:rPr>
              <w:t>Embedding</w:t>
            </w:r>
          </w:p>
        </w:tc>
        <w:tc>
          <w:tcPr>
            <w:tcW w:w="2016" w:type="dxa"/>
            <w:tcBorders>
              <w:top w:val="nil"/>
              <w:left w:val="nil"/>
              <w:bottom w:val="nil"/>
              <w:right w:val="nil"/>
            </w:tcBorders>
            <w:tcMar>
              <w:top w:w="50" w:type="dxa"/>
              <w:left w:w="75" w:type="dxa"/>
              <w:bottom w:w="50" w:type="dxa"/>
              <w:right w:w="75" w:type="dxa"/>
            </w:tcMar>
            <w:vAlign w:val="center"/>
          </w:tcPr>
          <w:p w14:paraId="1B68F8F8" w14:textId="77777777" w:rsidR="00F06C1B" w:rsidRDefault="00D0420B">
            <w:pPr>
              <w:spacing w:after="0" w:line="240" w:lineRule="auto"/>
              <w:jc w:val="center"/>
            </w:pPr>
            <w:r>
              <w:rPr>
                <w:sz w:val="16"/>
              </w:rPr>
              <w:t>KG Sol − KG Luna</w:t>
            </w:r>
          </w:p>
        </w:tc>
        <w:tc>
          <w:tcPr>
            <w:tcW w:w="1037" w:type="dxa"/>
            <w:tcBorders>
              <w:top w:val="nil"/>
              <w:left w:val="nil"/>
              <w:bottom w:val="nil"/>
              <w:right w:val="nil"/>
            </w:tcBorders>
            <w:tcMar>
              <w:top w:w="50" w:type="dxa"/>
              <w:left w:w="75" w:type="dxa"/>
              <w:bottom w:w="50" w:type="dxa"/>
              <w:right w:w="75" w:type="dxa"/>
            </w:tcMar>
            <w:vAlign w:val="center"/>
          </w:tcPr>
          <w:p w14:paraId="25240E26" w14:textId="77777777" w:rsidR="00F06C1B" w:rsidRDefault="00D0420B">
            <w:pPr>
              <w:spacing w:after="0" w:line="240" w:lineRule="auto"/>
              <w:jc w:val="right"/>
            </w:pPr>
            <w:r>
              <w:rPr>
                <w:sz w:val="16"/>
              </w:rPr>
              <w:t>+0.0022</w:t>
            </w:r>
          </w:p>
        </w:tc>
        <w:tc>
          <w:tcPr>
            <w:tcW w:w="2419" w:type="dxa"/>
            <w:tcBorders>
              <w:top w:val="nil"/>
              <w:left w:val="nil"/>
              <w:bottom w:val="nil"/>
              <w:right w:val="nil"/>
            </w:tcBorders>
            <w:tcMar>
              <w:top w:w="50" w:type="dxa"/>
              <w:left w:w="75" w:type="dxa"/>
              <w:bottom w:w="50" w:type="dxa"/>
              <w:right w:w="75" w:type="dxa"/>
            </w:tcMar>
            <w:vAlign w:val="center"/>
          </w:tcPr>
          <w:p w14:paraId="733F894A" w14:textId="77777777" w:rsidR="00F06C1B" w:rsidRDefault="00D0420B">
            <w:pPr>
              <w:spacing w:after="0" w:line="240" w:lineRule="auto"/>
              <w:jc w:val="right"/>
            </w:pPr>
            <w:r>
              <w:rPr>
                <w:sz w:val="16"/>
              </w:rPr>
              <w:t>[-0.0117, +0.0155]</w:t>
            </w:r>
          </w:p>
        </w:tc>
        <w:tc>
          <w:tcPr>
            <w:tcW w:w="1109" w:type="dxa"/>
            <w:tcBorders>
              <w:top w:val="nil"/>
              <w:left w:val="nil"/>
              <w:bottom w:val="nil"/>
              <w:right w:val="nil"/>
            </w:tcBorders>
            <w:tcMar>
              <w:top w:w="50" w:type="dxa"/>
              <w:left w:w="75" w:type="dxa"/>
              <w:bottom w:w="50" w:type="dxa"/>
              <w:right w:w="75" w:type="dxa"/>
            </w:tcMar>
            <w:vAlign w:val="center"/>
          </w:tcPr>
          <w:p w14:paraId="6782D2A4" w14:textId="77777777" w:rsidR="00F06C1B" w:rsidRDefault="00D0420B">
            <w:pPr>
              <w:spacing w:after="0" w:line="240" w:lineRule="auto"/>
              <w:jc w:val="right"/>
            </w:pPr>
            <w:r>
              <w:rPr>
                <w:sz w:val="16"/>
              </w:rPr>
              <w:t>1.000000</w:t>
            </w:r>
          </w:p>
        </w:tc>
        <w:tc>
          <w:tcPr>
            <w:tcW w:w="907" w:type="dxa"/>
            <w:tcBorders>
              <w:top w:val="nil"/>
              <w:left w:val="nil"/>
              <w:bottom w:val="nil"/>
              <w:right w:val="nil"/>
            </w:tcBorders>
            <w:tcMar>
              <w:top w:w="50" w:type="dxa"/>
              <w:left w:w="75" w:type="dxa"/>
              <w:bottom w:w="50" w:type="dxa"/>
              <w:right w:w="75" w:type="dxa"/>
            </w:tcMar>
            <w:vAlign w:val="center"/>
          </w:tcPr>
          <w:p w14:paraId="20D7DA09" w14:textId="77777777" w:rsidR="00F06C1B" w:rsidRDefault="00D0420B">
            <w:pPr>
              <w:spacing w:after="0" w:line="240" w:lineRule="auto"/>
              <w:jc w:val="right"/>
            </w:pPr>
            <w:r>
              <w:rPr>
                <w:sz w:val="16"/>
              </w:rPr>
              <w:t>6/0/5</w:t>
            </w:r>
          </w:p>
        </w:tc>
      </w:tr>
      <w:tr w:rsidR="00F06C1B" w14:paraId="49511D50" w14:textId="77777777">
        <w:trPr>
          <w:cantSplit/>
          <w:jc w:val="center"/>
        </w:trPr>
        <w:tc>
          <w:tcPr>
            <w:tcW w:w="1195" w:type="dxa"/>
            <w:tcBorders>
              <w:top w:val="nil"/>
              <w:left w:val="nil"/>
              <w:bottom w:val="nil"/>
              <w:right w:val="nil"/>
            </w:tcBorders>
            <w:tcMar>
              <w:top w:w="50" w:type="dxa"/>
              <w:left w:w="75" w:type="dxa"/>
              <w:bottom w:w="50" w:type="dxa"/>
              <w:right w:w="75" w:type="dxa"/>
            </w:tcMar>
            <w:vAlign w:val="center"/>
          </w:tcPr>
          <w:p w14:paraId="5485A85F" w14:textId="77777777" w:rsidR="00F06C1B" w:rsidRDefault="00D0420B">
            <w:pPr>
              <w:spacing w:after="0" w:line="240" w:lineRule="auto"/>
            </w:pPr>
            <w:r>
              <w:rPr>
                <w:sz w:val="16"/>
              </w:rPr>
              <w:t>Descriptor</w:t>
            </w:r>
          </w:p>
        </w:tc>
        <w:tc>
          <w:tcPr>
            <w:tcW w:w="2016" w:type="dxa"/>
            <w:tcBorders>
              <w:top w:val="nil"/>
              <w:left w:val="nil"/>
              <w:bottom w:val="nil"/>
              <w:right w:val="nil"/>
            </w:tcBorders>
            <w:tcMar>
              <w:top w:w="50" w:type="dxa"/>
              <w:left w:w="75" w:type="dxa"/>
              <w:bottom w:w="50" w:type="dxa"/>
              <w:right w:w="75" w:type="dxa"/>
            </w:tcMar>
            <w:vAlign w:val="center"/>
          </w:tcPr>
          <w:p w14:paraId="2699265F" w14:textId="77777777" w:rsidR="00F06C1B" w:rsidRDefault="00D0420B">
            <w:pPr>
              <w:spacing w:after="0" w:line="240" w:lineRule="auto"/>
              <w:jc w:val="center"/>
            </w:pPr>
            <w:r>
              <w:rPr>
                <w:sz w:val="16"/>
              </w:rPr>
              <w:t>KG Luna − Full+J</w:t>
            </w:r>
          </w:p>
        </w:tc>
        <w:tc>
          <w:tcPr>
            <w:tcW w:w="1037" w:type="dxa"/>
            <w:tcBorders>
              <w:top w:val="nil"/>
              <w:left w:val="nil"/>
              <w:bottom w:val="nil"/>
              <w:right w:val="nil"/>
            </w:tcBorders>
            <w:tcMar>
              <w:top w:w="50" w:type="dxa"/>
              <w:left w:w="75" w:type="dxa"/>
              <w:bottom w:w="50" w:type="dxa"/>
              <w:right w:w="75" w:type="dxa"/>
            </w:tcMar>
            <w:vAlign w:val="center"/>
          </w:tcPr>
          <w:p w14:paraId="5C61C687" w14:textId="77777777" w:rsidR="00F06C1B" w:rsidRDefault="00D0420B">
            <w:pPr>
              <w:spacing w:after="0" w:line="240" w:lineRule="auto"/>
              <w:jc w:val="right"/>
            </w:pPr>
            <w:r>
              <w:rPr>
                <w:sz w:val="16"/>
              </w:rPr>
              <w:t>+0.0210</w:t>
            </w:r>
          </w:p>
        </w:tc>
        <w:tc>
          <w:tcPr>
            <w:tcW w:w="2419" w:type="dxa"/>
            <w:tcBorders>
              <w:top w:val="nil"/>
              <w:left w:val="nil"/>
              <w:bottom w:val="nil"/>
              <w:right w:val="nil"/>
            </w:tcBorders>
            <w:tcMar>
              <w:top w:w="50" w:type="dxa"/>
              <w:left w:w="75" w:type="dxa"/>
              <w:bottom w:w="50" w:type="dxa"/>
              <w:right w:w="75" w:type="dxa"/>
            </w:tcMar>
            <w:vAlign w:val="center"/>
          </w:tcPr>
          <w:p w14:paraId="2E0A15D7" w14:textId="77777777" w:rsidR="00F06C1B" w:rsidRDefault="00D0420B">
            <w:pPr>
              <w:spacing w:after="0" w:line="240" w:lineRule="auto"/>
              <w:jc w:val="right"/>
            </w:pPr>
            <w:r>
              <w:rPr>
                <w:sz w:val="16"/>
              </w:rPr>
              <w:t>[+0.0082, +0.0351]</w:t>
            </w:r>
          </w:p>
        </w:tc>
        <w:tc>
          <w:tcPr>
            <w:tcW w:w="1109" w:type="dxa"/>
            <w:tcBorders>
              <w:top w:val="nil"/>
              <w:left w:val="nil"/>
              <w:bottom w:val="nil"/>
              <w:right w:val="nil"/>
            </w:tcBorders>
            <w:tcMar>
              <w:top w:w="50" w:type="dxa"/>
              <w:left w:w="75" w:type="dxa"/>
              <w:bottom w:w="50" w:type="dxa"/>
              <w:right w:w="75" w:type="dxa"/>
            </w:tcMar>
            <w:vAlign w:val="center"/>
          </w:tcPr>
          <w:p w14:paraId="53F4A90E" w14:textId="77777777" w:rsidR="00F06C1B" w:rsidRDefault="00D0420B">
            <w:pPr>
              <w:spacing w:after="0" w:line="240" w:lineRule="auto"/>
              <w:jc w:val="right"/>
            </w:pPr>
            <w:r>
              <w:rPr>
                <w:sz w:val="16"/>
              </w:rPr>
              <w:t>0.050781</w:t>
            </w:r>
          </w:p>
        </w:tc>
        <w:tc>
          <w:tcPr>
            <w:tcW w:w="907" w:type="dxa"/>
            <w:tcBorders>
              <w:top w:val="nil"/>
              <w:left w:val="nil"/>
              <w:bottom w:val="nil"/>
              <w:right w:val="nil"/>
            </w:tcBorders>
            <w:tcMar>
              <w:top w:w="50" w:type="dxa"/>
              <w:left w:w="75" w:type="dxa"/>
              <w:bottom w:w="50" w:type="dxa"/>
              <w:right w:w="75" w:type="dxa"/>
            </w:tcMar>
            <w:vAlign w:val="center"/>
          </w:tcPr>
          <w:p w14:paraId="6C0650A8" w14:textId="77777777" w:rsidR="00F06C1B" w:rsidRDefault="00D0420B">
            <w:pPr>
              <w:spacing w:after="0" w:line="240" w:lineRule="auto"/>
              <w:jc w:val="right"/>
            </w:pPr>
            <w:r>
              <w:rPr>
                <w:sz w:val="16"/>
              </w:rPr>
              <w:t>9/0/2</w:t>
            </w:r>
          </w:p>
        </w:tc>
      </w:tr>
      <w:tr w:rsidR="00F06C1B" w14:paraId="190B8A06" w14:textId="77777777">
        <w:trPr>
          <w:cantSplit/>
          <w:jc w:val="center"/>
        </w:trPr>
        <w:tc>
          <w:tcPr>
            <w:tcW w:w="1195" w:type="dxa"/>
            <w:tcBorders>
              <w:top w:val="nil"/>
              <w:left w:val="nil"/>
              <w:bottom w:val="single" w:sz="8" w:space="0" w:color="000000"/>
              <w:right w:val="nil"/>
            </w:tcBorders>
            <w:tcMar>
              <w:top w:w="50" w:type="dxa"/>
              <w:left w:w="75" w:type="dxa"/>
              <w:bottom w:w="50" w:type="dxa"/>
              <w:right w:w="75" w:type="dxa"/>
            </w:tcMar>
            <w:vAlign w:val="center"/>
          </w:tcPr>
          <w:p w14:paraId="47DE6FA3" w14:textId="77777777" w:rsidR="00F06C1B" w:rsidRDefault="00D0420B">
            <w:pPr>
              <w:keepNext/>
              <w:spacing w:after="0" w:line="240" w:lineRule="auto"/>
            </w:pPr>
            <w:r>
              <w:rPr>
                <w:sz w:val="16"/>
              </w:rPr>
              <w:t>Descriptor</w:t>
            </w:r>
          </w:p>
        </w:tc>
        <w:tc>
          <w:tcPr>
            <w:tcW w:w="2016" w:type="dxa"/>
            <w:tcBorders>
              <w:top w:val="nil"/>
              <w:left w:val="nil"/>
              <w:bottom w:val="single" w:sz="8" w:space="0" w:color="000000"/>
              <w:right w:val="nil"/>
            </w:tcBorders>
            <w:tcMar>
              <w:top w:w="50" w:type="dxa"/>
              <w:left w:w="75" w:type="dxa"/>
              <w:bottom w:w="50" w:type="dxa"/>
              <w:right w:w="75" w:type="dxa"/>
            </w:tcMar>
            <w:vAlign w:val="center"/>
          </w:tcPr>
          <w:p w14:paraId="3B6D976F" w14:textId="77777777" w:rsidR="00F06C1B" w:rsidRDefault="00D0420B">
            <w:pPr>
              <w:keepNext/>
              <w:spacing w:after="0" w:line="240" w:lineRule="auto"/>
              <w:jc w:val="center"/>
            </w:pPr>
            <w:r>
              <w:rPr>
                <w:sz w:val="16"/>
              </w:rPr>
              <w:t>KG Sol − KG Luna</w:t>
            </w:r>
          </w:p>
        </w:tc>
        <w:tc>
          <w:tcPr>
            <w:tcW w:w="1037" w:type="dxa"/>
            <w:tcBorders>
              <w:top w:val="nil"/>
              <w:left w:val="nil"/>
              <w:bottom w:val="single" w:sz="8" w:space="0" w:color="000000"/>
              <w:right w:val="nil"/>
            </w:tcBorders>
            <w:tcMar>
              <w:top w:w="50" w:type="dxa"/>
              <w:left w:w="75" w:type="dxa"/>
              <w:bottom w:w="50" w:type="dxa"/>
              <w:right w:w="75" w:type="dxa"/>
            </w:tcMar>
            <w:vAlign w:val="center"/>
          </w:tcPr>
          <w:p w14:paraId="76574148" w14:textId="77777777" w:rsidR="00F06C1B" w:rsidRDefault="00D0420B">
            <w:pPr>
              <w:keepNext/>
              <w:spacing w:after="0" w:line="240" w:lineRule="auto"/>
              <w:jc w:val="right"/>
            </w:pPr>
            <w:r>
              <w:rPr>
                <w:sz w:val="16"/>
              </w:rPr>
              <w:t>-0.0012</w:t>
            </w:r>
          </w:p>
        </w:tc>
        <w:tc>
          <w:tcPr>
            <w:tcW w:w="2419" w:type="dxa"/>
            <w:tcBorders>
              <w:top w:val="nil"/>
              <w:left w:val="nil"/>
              <w:bottom w:val="single" w:sz="8" w:space="0" w:color="000000"/>
              <w:right w:val="nil"/>
            </w:tcBorders>
            <w:tcMar>
              <w:top w:w="50" w:type="dxa"/>
              <w:left w:w="75" w:type="dxa"/>
              <w:bottom w:w="50" w:type="dxa"/>
              <w:right w:w="75" w:type="dxa"/>
            </w:tcMar>
            <w:vAlign w:val="center"/>
          </w:tcPr>
          <w:p w14:paraId="0C705DB2" w14:textId="77777777" w:rsidR="00F06C1B" w:rsidRDefault="00D0420B">
            <w:pPr>
              <w:keepNext/>
              <w:spacing w:after="0" w:line="240" w:lineRule="auto"/>
              <w:jc w:val="right"/>
            </w:pPr>
            <w:r>
              <w:rPr>
                <w:sz w:val="16"/>
              </w:rPr>
              <w:t>[-0.0077, +0.0060]</w:t>
            </w:r>
          </w:p>
        </w:tc>
        <w:tc>
          <w:tcPr>
            <w:tcW w:w="1109" w:type="dxa"/>
            <w:tcBorders>
              <w:top w:val="nil"/>
              <w:left w:val="nil"/>
              <w:bottom w:val="single" w:sz="8" w:space="0" w:color="000000"/>
              <w:right w:val="nil"/>
            </w:tcBorders>
            <w:tcMar>
              <w:top w:w="50" w:type="dxa"/>
              <w:left w:w="75" w:type="dxa"/>
              <w:bottom w:w="50" w:type="dxa"/>
              <w:right w:w="75" w:type="dxa"/>
            </w:tcMar>
            <w:vAlign w:val="center"/>
          </w:tcPr>
          <w:p w14:paraId="4DC736ED" w14:textId="77777777" w:rsidR="00F06C1B" w:rsidRDefault="00D0420B">
            <w:pPr>
              <w:keepNext/>
              <w:spacing w:after="0" w:line="240" w:lineRule="auto"/>
              <w:jc w:val="right"/>
            </w:pPr>
            <w:r>
              <w:rPr>
                <w:sz w:val="16"/>
              </w:rPr>
              <w:t>1.000000</w:t>
            </w:r>
          </w:p>
        </w:tc>
        <w:tc>
          <w:tcPr>
            <w:tcW w:w="907" w:type="dxa"/>
            <w:tcBorders>
              <w:top w:val="nil"/>
              <w:left w:val="nil"/>
              <w:bottom w:val="single" w:sz="8" w:space="0" w:color="000000"/>
              <w:right w:val="nil"/>
            </w:tcBorders>
            <w:tcMar>
              <w:top w:w="50" w:type="dxa"/>
              <w:left w:w="75" w:type="dxa"/>
              <w:bottom w:w="50" w:type="dxa"/>
              <w:right w:w="75" w:type="dxa"/>
            </w:tcMar>
            <w:vAlign w:val="center"/>
          </w:tcPr>
          <w:p w14:paraId="6E9303F4" w14:textId="77777777" w:rsidR="00F06C1B" w:rsidRDefault="00D0420B">
            <w:pPr>
              <w:keepNext/>
              <w:spacing w:after="0" w:line="240" w:lineRule="auto"/>
              <w:jc w:val="right"/>
            </w:pPr>
            <w:r>
              <w:rPr>
                <w:sz w:val="16"/>
              </w:rPr>
              <w:t>5/0/6</w:t>
            </w:r>
          </w:p>
        </w:tc>
      </w:tr>
    </w:tbl>
    <w:p w14:paraId="6ABACEAF" w14:textId="535B86D0" w:rsidR="00F06C1B" w:rsidRDefault="00D0420B">
      <w:pPr>
        <w:pStyle w:val="Caption"/>
        <w:keepLines/>
        <w:spacing w:before="100" w:after="180"/>
      </w:pPr>
      <w:r>
        <w:t xml:space="preserve">Table </w:t>
      </w:r>
      <w:bookmarkStart w:id="1" w:name="tab_contrasts"/>
      <w:r>
        <w:t>S</w:t>
      </w:r>
      <w:r>
        <w:fldChar w:fldCharType="begin"/>
      </w:r>
      <w:r>
        <w:instrText xml:space="preserve"> SEQ Table \* ARABIC </w:instrText>
      </w:r>
      <w:r>
        <w:fldChar w:fldCharType="separate"/>
      </w:r>
      <w:r w:rsidR="007343E1">
        <w:rPr>
          <w:noProof/>
        </w:rPr>
        <w:t>2</w:t>
      </w:r>
      <w:r>
        <w:fldChar w:fldCharType="end"/>
      </w:r>
      <w:bookmarkEnd w:id="1"/>
      <w:r>
        <w:t>. Primary paired contrasts from three-collection role means. Intervals are unadjusted 95% role-bootstrap intervals. Holm correction covers the four exact sign-flip tests. W/T/L counts role wins, ties and losses.</w:t>
      </w:r>
    </w:p>
    <w:p w14:paraId="1B980CDB" w14:textId="77777777" w:rsidR="00F06C1B" w:rsidRDefault="00D0420B">
      <w:pPr>
        <w:jc w:val="both"/>
      </w:pPr>
      <w:r>
        <w:t>KG-directed Luna has positive mean effects relative to holistic Full+</w:t>
      </w:r>
      <w:r>
        <w:rPr>
          <w:i/>
        </w:rPr>
        <w:t>J</w:t>
      </w:r>
      <w:r>
        <w:t xml:space="preserve"> in nine of eleven roles for each representation. Neither contrast meets the Holm-adjusted 0.05 threshold (0.090820 for embeddings; 0.050781 for descriptors), although the unadjusted bootstrap intervals exclude zero. Sol-minus-Luna contrasts are unresolved and do not establish model equivalence.</w:t>
      </w:r>
    </w:p>
    <w:p w14:paraId="3331FC02" w14:textId="77777777" w:rsidR="00F06C1B" w:rsidRDefault="00D0420B">
      <w:pPr>
        <w:pStyle w:val="Heading1"/>
      </w:pPr>
      <w:r>
        <w:t>S4 Additional comparisons and interpretation</w:t>
      </w:r>
    </w:p>
    <w:p w14:paraId="1F9DB963" w14:textId="77777777" w:rsidR="00F06C1B" w:rsidRDefault="00D0420B">
      <w:pPr>
        <w:jc w:val="both"/>
      </w:pPr>
      <w:r>
        <w:t xml:space="preserve">A secondary initial-ranker comparison replaces equal score fusion with reciprocal-rank fusion of the same </w:t>
      </w:r>
      <w:r>
        <w:rPr>
          <w:i/>
        </w:rPr>
        <w:t>G,A,F</w:t>
      </w:r>
      <w:r>
        <w:t xml:space="preserve"> signals after dimensional screening. It averages </w:t>
      </w:r>
      <w:r>
        <w:rPr>
          <w:rFonts w:ascii="Consolas" w:hAnsi="Consolas"/>
          <w:sz w:val="18"/>
        </w:rPr>
        <w:t>$1/(60+\operatorname{rank}_j)$</w:t>
      </w:r>
      <w:r>
        <w:t xml:space="preserve"> across the three signals, using average ranks for ties. Base Full exceeds this comparator by 0.0467 and 0.1093 nDCG@5 for embeddings and descriptors. Both Holm-adjusted probabilities are 1 in the separate twelve-contrast initial-ranker family. This comparison does not resolve a preferred fusion rule; the main evidence concerns visual observation design.</w:t>
      </w:r>
    </w:p>
    <w:p w14:paraId="00DDCA95" w14:textId="77777777" w:rsidR="00F06C1B" w:rsidRDefault="00D0420B">
      <w:pPr>
        <w:jc w:val="both"/>
      </w:pPr>
      <w:r>
        <w:lastRenderedPageBreak/>
        <w:t xml:space="preserve">An embedding belt-wheel query with a 42 mm bound illustrates the distinction between visual support and dimensional-reference uncertainty. Its leading candidates all have </w:t>
      </w:r>
      <w:r>
        <w:rPr>
          <w:rFonts w:ascii="Consolas" w:hAnsi="Consolas"/>
          <w:sz w:val="18"/>
        </w:rPr>
        <w:t>$H=1$</w:t>
      </w:r>
      <w:r>
        <w:t xml:space="preserve">, so coverage leaves their initial order unchanged. Z0114 passes the serving screen but has two missing faces in the independent surface reference and lies at the bound, capping its evaluated grade at 1. The clear-pass candidate preferred by </w:t>
      </w:r>
      <w:r>
        <w:rPr>
          <w:i/>
        </w:rPr>
        <w:t>G+F+C</w:t>
      </w:r>
      <w:r>
        <w:t xml:space="preserve"> retains grade 2. The resulting nDCG@5 is 1.0000 for </w:t>
      </w:r>
      <w:r>
        <w:rPr>
          <w:i/>
        </w:rPr>
        <w:t>G+F+C</w:t>
      </w:r>
      <w:r>
        <w:t xml:space="preserve"> and 0.9026 for Base Full and KG-directed Luna collection 1. This case shows why apparently complete visible interfaces cannot resolve uncertainty in dimensional relevance.</w:t>
      </w:r>
    </w:p>
    <w:p w14:paraId="57B171C5" w14:textId="77777777" w:rsidR="00F06C1B" w:rsidRDefault="00D0420B">
      <w:pPr>
        <w:jc w:val="both"/>
      </w:pPr>
      <w:r>
        <w:t xml:space="preserve">The main qualitative examples are post-hoc interpretations, not additional feature-accuracy tests. For selected positive and negative roles, diagnostic queries have effects closest to their role's three-collection mean. Candidate Z0939 additionally illustrates a role-scope disagreement: the reference accepts terminal tensile attachments on a connected paired-coil assembly, whereas the authored tension binding requires opposite ends of one coil. Clauses and reference grades are unchanged. Model observations </w:t>
      </w:r>
      <w:r>
        <w:t>and the AI-derived reference require independent engineering adjudication before claims of feature truth.</w:t>
      </w:r>
    </w:p>
    <w:p w14:paraId="4D6682E2" w14:textId="77777777" w:rsidR="00F06C1B" w:rsidRDefault="00D0420B">
      <w:pPr>
        <w:jc w:val="both"/>
      </w:pPr>
      <w:r>
        <w:t>The accompanying numerical snapshots and scripts regenerate the publication figures and tables without additional model calls. Source-linked prompts, responses, coverage records and ranking arrays support full analytical replay using the original CAD gallery, queries and relevance data. Independent scalar and saved-response calculations agree to floating-point precision. These checks establish computational consistency, not independent validation of the relevance judgments. Quantitative artwork uses Science</w:t>
      </w:r>
      <w:r>
        <w:t>Plots with Matplotlib.</w:t>
      </w:r>
    </w:p>
    <w:sectPr w:rsidR="00F06C1B" w:rsidSect="00034616">
      <w:footerReference w:type="default" r:id="rId8"/>
      <w:pgSz w:w="11905" w:h="16838"/>
      <w:pgMar w:top="965" w:right="965" w:bottom="965"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6ACF" w14:textId="77777777" w:rsidR="00D0420B" w:rsidRDefault="00D0420B">
      <w:pPr>
        <w:spacing w:after="0" w:line="240" w:lineRule="auto"/>
      </w:pPr>
      <w:r>
        <w:separator/>
      </w:r>
    </w:p>
  </w:endnote>
  <w:endnote w:type="continuationSeparator" w:id="0">
    <w:p w14:paraId="1A4BECDE" w14:textId="77777777" w:rsidR="00D0420B" w:rsidRDefault="00D04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FF1A" w14:textId="77777777" w:rsidR="00F06C1B" w:rsidRDefault="00D0420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A9AA" w14:textId="77777777" w:rsidR="00D0420B" w:rsidRDefault="00D0420B">
      <w:pPr>
        <w:spacing w:after="0" w:line="240" w:lineRule="auto"/>
      </w:pPr>
      <w:r>
        <w:separator/>
      </w:r>
    </w:p>
  </w:footnote>
  <w:footnote w:type="continuationSeparator" w:id="0">
    <w:p w14:paraId="15AF50D9" w14:textId="77777777" w:rsidR="00D0420B" w:rsidRDefault="00D04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816851">
    <w:abstractNumId w:val="8"/>
  </w:num>
  <w:num w:numId="2" w16cid:durableId="703483005">
    <w:abstractNumId w:val="6"/>
  </w:num>
  <w:num w:numId="3" w16cid:durableId="560411121">
    <w:abstractNumId w:val="5"/>
  </w:num>
  <w:num w:numId="4" w16cid:durableId="805662367">
    <w:abstractNumId w:val="4"/>
  </w:num>
  <w:num w:numId="5" w16cid:durableId="1459185485">
    <w:abstractNumId w:val="7"/>
  </w:num>
  <w:num w:numId="6" w16cid:durableId="1731611305">
    <w:abstractNumId w:val="3"/>
  </w:num>
  <w:num w:numId="7" w16cid:durableId="1239555127">
    <w:abstractNumId w:val="2"/>
  </w:num>
  <w:num w:numId="8" w16cid:durableId="2138715946">
    <w:abstractNumId w:val="1"/>
  </w:num>
  <w:num w:numId="9" w16cid:durableId="56184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4A7C"/>
    <w:rsid w:val="007343E1"/>
    <w:rsid w:val="00AA1D8D"/>
    <w:rsid w:val="00B47730"/>
    <w:rsid w:val="00CB0664"/>
    <w:rsid w:val="00D0420B"/>
    <w:rsid w:val="00F06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C1098A"/>
  <w14:defaultImageDpi w14:val="300"/>
  <w15:docId w15:val="{EF20429A-ECD5-41A0-964E-99CD9055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Code">
    <w:name w:val="LaTeX Code"/>
    <w:pPr>
      <w:keepLines/>
      <w:spacing w:before="100" w:after="14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1495</Words>
  <Characters>9638</Characters>
  <Application>Microsoft Office Word</Application>
  <DocSecurity>0</DocSecurity>
  <Lines>165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results Knowledge-guided relational evidence for functional CAD retrieval</dc:title>
  <dc:subject>Functional CAD retrieval</dc:subject>
  <dc:creator/>
  <cp:keywords>CAD; knowledge graph; functional retrieval; visual language models</cp:keywords>
  <dc:description/>
  <cp:lastModifiedBy>Fan Haolin (Dr)</cp:lastModifiedBy>
  <cp:revision>2</cp:revision>
  <dcterms:created xsi:type="dcterms:W3CDTF">2013-12-23T23:15:00Z</dcterms:created>
  <dcterms:modified xsi:type="dcterms:W3CDTF">2026-10-22T09:53:00Z</dcterms:modified>
  <cp:category/>
</cp:coreProperties>
</file>