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i w:val="0"/>
          <w:color w:val="2E74B5"/>
          <w:sz w:val="20"/>
        </w:rPr>
        <w:t>PROJECT SOFTWARE STANDARD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Software Modelling Standard</w:t>
      </w:r>
    </w:p>
    <w:p>
      <w:pPr>
        <w:spacing w:after="200"/>
      </w:pPr>
      <w:r>
        <w:rPr>
          <w:rFonts w:ascii="Calibri" w:hAnsi="Calibri"/>
          <w:b w:val="0"/>
          <w:i w:val="0"/>
          <w:color w:val="5B6573"/>
          <w:sz w:val="28"/>
        </w:rPr>
        <w:t>SkyGuard Drone Control Display System (DCDS)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Controlled value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Document identifier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DCDS-SMS-001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Revision / 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Revision A / Mock approved baseline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Effective 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Project baseline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Mock Baseline MB-01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Software level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DAL B (provisional; subject to system safety assessment)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Toolchain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Ansys SCADE Suite, SCADE Display and SCADE Test - 2026 R1 project baseline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Owner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 Software Engineering Authority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Defines DO-331-aligned modelling rules for SCADE Suite functional models and SCADE Display graphical models used as design, low-level requirements and generated-code inputs for DCDS.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Use limitation: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Mock standard for training and tailoring; not an approved certification or tool-qualification record. Replace mock approvals, tool versions and system assumptions before live use.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t>Approval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300"/>
        <w:gridCol w:w="2100"/>
        <w:gridCol w:w="23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Mock approver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Disposition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Engineering Authority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A. Engineer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Verification Lead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V. Reviewer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Quality Assurance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Q. Assessor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Scope and application</w:t>
      </w:r>
    </w:p>
    <w:p>
      <w:r>
        <w:t>This standard applies to the DCDS application software, SCADE models, generated C source, manually developed integration code, configuration data and associated life-cycle data used to present drone state and initiate operator commands. Compliance is mandatory for software placed under the MB-01 certification baseline unless an approved deviation is recorded.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Assurance boundary: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mock baseline assigns DAL B because misleading awareness or loss of command presentation may contribute to a hazardous condition. The command transmission gateway independently validates every request. If that independence is not established, or if an erroneous command could directly cause a catastrophic condition, DAL A objectives and additional independence apply.</w:t>
            </w:r>
          </w:p>
        </w:tc>
      </w:tr>
    </w:tbl>
    <w:p>
      <w:pPr>
        <w:spacing w:after="40"/>
      </w:pPr>
    </w:p>
    <w:p>
      <w:pPr>
        <w:pStyle w:val="Heading2"/>
      </w:pPr>
      <w:r>
        <w:t>1.1 System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Panel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Primary content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Safety-related behaviour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Position (PAN-POS)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Latitude/longitude, map position, altitude, track, groundspeed, home bearing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Reject implausible data; show INVALID or STALE within 0.5 s; never dead-reckon without an explicit DR label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Communications (PAN-COM)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C2 link state, signal margin, latency, authentication, active bearer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Annunciate degraded and lost link; distinguish telemetry loss from command-link loss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Command and Control (PAN-C2)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Mode, authority, arm state, mission state, pending command, acknowledgement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Two-step guarded commands; inhibit on lost authority, invalid state or stale link; unique transaction ID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HUD (PAN-HUD)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Video/sensor view with heading, pitch, roll, altitude, speed and target cue overlay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Remove or flag invalid symbology; prevent stale overlay from appearing current; colour is never the sole cue</w:t>
            </w:r>
          </w:p>
        </w:tc>
      </w:tr>
    </w:tbl>
    <w:p>
      <w:pPr>
        <w:spacing w:after="20"/>
      </w:pPr>
    </w:p>
    <w:p>
      <w:pPr>
        <w:pStyle w:val="Heading2"/>
      </w:pPr>
      <w:r>
        <w:t>1.2 Execution baseline</w:t>
      </w:r>
    </w:p>
    <w:p>
      <w:pPr>
        <w:pStyle w:val="ListBullet"/>
      </w:pPr>
      <w:r>
        <w:t>A deterministic 50 ms application cycle (20 Hz) is the logical execution rate.</w:t>
      </w:r>
    </w:p>
    <w:p>
      <w:pPr>
        <w:pStyle w:val="ListBullet"/>
      </w:pPr>
      <w:r>
        <w:t>Position data is expected at 10 Hz; communications health at 5 Hz; command status and core flight data at 20 Hz.</w:t>
      </w:r>
    </w:p>
    <w:p>
      <w:pPr>
        <w:pStyle w:val="ListBullet"/>
      </w:pPr>
      <w:r>
        <w:t>The video stream may run at 30 Hz but is not safety-credited. SCADE Display symbology is independently refreshed and validity-controlled.</w:t>
      </w:r>
    </w:p>
    <w:p>
      <w:pPr>
        <w:pStyle w:val="ListBullet"/>
      </w:pPr>
      <w:r>
        <w:t>All externally received values carry validity, source time and sequence information. The data-age manager produces CURRENT, DEGRADED, STALE or INVALID status.</w:t>
      </w:r>
    </w:p>
    <w:p>
      <w:pPr>
        <w:pStyle w:val="ListBullet"/>
      </w:pPr>
      <w:r>
        <w:t>Target code is generated as C and integrated with the project platform adaptation layer. Dynamic memory allocation is prohibited after initialization.</w:t>
      </w:r>
    </w:p>
    <w:p>
      <w:pPr>
        <w:pStyle w:val="Heading1"/>
      </w:pPr>
      <w:r>
        <w:t>2. Model role and classification</w:t>
      </w:r>
    </w:p>
    <w:p>
      <w:r>
        <w:t>The project model is not an informal drawing. Approved SCADE Suite elements constitute detailed design and, where explicitly tagged, low-level requirements used to generate source code. SCADE Display elements constitute graphical design and detailed presentation requirements used to generate display code/assets. Higher-level requirements remain textual and trace to model elements. The model role is declared at package and operator level.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3300"/>
        <w:gridCol w:w="23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Model class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Life-cycle role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Permitted content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Verification expectation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M-HLR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Executable elaboration of a high-level requirement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Unambiguous externally visible behaviour only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Requirements review plus independent tests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M-LLR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Low-level requirement and detailed design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Algorithms, state, boundary logic and exact interface behaviour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 review, requirements tests and model coverage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M-DES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Architecture/design support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Decomposition, data flow, non-executable annotations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 review and traceability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M-HMI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Graphical detailed design / generation input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Layers, bindings, assets, visual states and interactions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Rule checks, image tests and target display tests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M-TEST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Verification model or oracle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Test-only drivers, monitors and independent computations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Separate baseline, review and qualification determination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SMS-CLS-001  </w:t>
      </w:r>
      <w:r>
        <w:rPr>
          <w:rFonts w:ascii="Calibri" w:hAnsi="Calibri"/>
          <w:b w:val="0"/>
          <w:i w:val="0"/>
          <w:color w:val="000000"/>
          <w:sz w:val="21"/>
        </w:rPr>
        <w:t>Every package and operator shall declare its model class and linked requirements. Mixed requirement and test logic within one operator is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SMS-CLS-002  </w:t>
      </w:r>
      <w:r>
        <w:rPr>
          <w:rFonts w:ascii="Calibri" w:hAnsi="Calibri"/>
          <w:b w:val="0"/>
          <w:i w:val="0"/>
          <w:color w:val="000000"/>
          <w:sz w:val="21"/>
        </w:rPr>
        <w:t>A model used for code generation shall contain only approved executable behaviour, documented initialization and justified library instances.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SMS-CLS-003  </w:t>
      </w:r>
      <w:r>
        <w:rPr>
          <w:rFonts w:ascii="Calibri" w:hAnsi="Calibri"/>
          <w:b w:val="0"/>
          <w:i w:val="0"/>
          <w:color w:val="000000"/>
          <w:sz w:val="21"/>
        </w:rPr>
        <w:t>Model-based credit shall be claimed only through the approved DO-331 approach and project plans; simulation alone does not establish compliance.</w:t>
      </w:r>
    </w:p>
    <w:p>
      <w:pPr>
        <w:pStyle w:val="Heading1"/>
      </w:pPr>
      <w:r>
        <w:t>3. SCADE Suite structure and naming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Element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Convention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Project/package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DCDS_&lt;domain&gt;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DCDS_Validity, DCDS_C2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Operator/node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N_&lt;verb&gt;_&lt;object&gt;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N_ValidatePosition, N_ManageCommandTxn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T_&lt;noun&gt;[_unit_scale]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T_Heading_deg_e2, T_LinkState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Constant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C_&lt;noun&gt;_&lt;unit&gt;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C_NAV_STALE_MS, C_CONFIRM_TIMEOUT_MS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Input/output/local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i_&lt;noun&gt;, o_&lt;noun&gt;, l_&lt;noun&gt;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i_navFrame, o_positionView, l_isFresh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S_&lt;state&gt;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S_IDLE, S_ARMED, S_SENT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Display object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&lt;panel&gt;_&lt;role&gt;_&lt;noun&gt;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POS_TXT_Altitude, C2_BTN_Confirm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Requirement tag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REQ:&lt;identifier&gt;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REQ:HLR-C2-011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SMS-NAM-001  </w:t>
      </w:r>
      <w:r>
        <w:rPr>
          <w:rFonts w:ascii="Calibri" w:hAnsi="Calibri"/>
          <w:b w:val="0"/>
          <w:i w:val="0"/>
          <w:color w:val="000000"/>
          <w:sz w:val="21"/>
        </w:rPr>
        <w:t>Names shall convey domain meaning, unit and role. Generic names such as temp, data1, flag or block are prohibited in approved models.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SMS-NAM-002  </w:t>
      </w:r>
      <w:r>
        <w:rPr>
          <w:rFonts w:ascii="Calibri" w:hAnsi="Calibri"/>
          <w:b w:val="0"/>
          <w:i w:val="0"/>
          <w:color w:val="000000"/>
          <w:sz w:val="21"/>
        </w:rPr>
        <w:t>Abbreviations shall come from the project glossary. Similar concepts shall not use competing abbreviations.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SMS-NAM-003  </w:t>
      </w:r>
      <w:r>
        <w:rPr>
          <w:rFonts w:ascii="Calibri" w:hAnsi="Calibri"/>
          <w:b w:val="0"/>
          <w:i w:val="0"/>
          <w:color w:val="000000"/>
          <w:sz w:val="21"/>
        </w:rPr>
        <w:t>Operator interfaces shall remain stable and small; more than 12 inputs or 8 outputs requires decomposition or approved justification.</w:t>
      </w:r>
    </w:p>
    <w:p>
      <w:pPr>
        <w:pStyle w:val="Heading1"/>
      </w:pPr>
      <w:r>
        <w:t>4. Data-flow modelling rules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SMS-DF-001  </w:t>
      </w:r>
      <w:r>
        <w:rPr>
          <w:rFonts w:ascii="Calibri" w:hAnsi="Calibri"/>
          <w:b w:val="0"/>
          <w:i w:val="0"/>
          <w:color w:val="000000"/>
          <w:sz w:val="21"/>
        </w:rPr>
        <w:t>Each equation shall have one clear purpose. Complex expressions shall be decomposed into named intermediate flows that expose boundary and validity decisions.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SMS-DF-002  </w:t>
      </w:r>
      <w:r>
        <w:rPr>
          <w:rFonts w:ascii="Calibri" w:hAnsi="Calibri"/>
          <w:b w:val="0"/>
          <w:i w:val="0"/>
          <w:color w:val="000000"/>
          <w:sz w:val="21"/>
        </w:rPr>
        <w:t>Units and ranges shall be represented through project types and annotations. Mixing quantities with different units in an expression is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SMS-DF-003  </w:t>
      </w:r>
      <w:r>
        <w:rPr>
          <w:rFonts w:ascii="Calibri" w:hAnsi="Calibri"/>
          <w:b w:val="0"/>
          <w:i w:val="0"/>
          <w:color w:val="000000"/>
          <w:sz w:val="21"/>
        </w:rPr>
        <w:t>Boolean logic with three or more independent conditions shall use named conditions and shall be formatted to make precedence visible.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SMS-DF-004  </w:t>
      </w:r>
      <w:r>
        <w:rPr>
          <w:rFonts w:ascii="Calibri" w:hAnsi="Calibri"/>
          <w:b w:val="0"/>
          <w:i w:val="0"/>
          <w:color w:val="000000"/>
          <w:sz w:val="21"/>
        </w:rPr>
        <w:t>Numeric overflow, saturation, division by zero and conversion behaviour shall be explicit. Reliance on target-language wraparound is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SMS-DF-005  </w:t>
      </w:r>
      <w:r>
        <w:rPr>
          <w:rFonts w:ascii="Calibri" w:hAnsi="Calibri"/>
          <w:b w:val="0"/>
          <w:i w:val="0"/>
          <w:color w:val="000000"/>
          <w:sz w:val="21"/>
        </w:rPr>
        <w:t>Default branches shall produce a safe, defined result and shall be verified. A default branch shall not silently treat an unknown enum as NORMAL.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SMS-DF-006  </w:t>
      </w:r>
      <w:r>
        <w:rPr>
          <w:rFonts w:ascii="Calibri" w:hAnsi="Calibri"/>
          <w:b w:val="0"/>
          <w:i w:val="0"/>
          <w:color w:val="000000"/>
          <w:sz w:val="21"/>
        </w:rPr>
        <w:t>Feedback shall use explicit delay/state operators with an initial value linked to a requirement. Combinational cycles are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SMS-DF-007  </w:t>
      </w:r>
      <w:r>
        <w:rPr>
          <w:rFonts w:ascii="Calibri" w:hAnsi="Calibri"/>
          <w:b w:val="0"/>
          <w:i w:val="0"/>
          <w:color w:val="000000"/>
          <w:sz w:val="21"/>
        </w:rPr>
        <w:t>Operators shall be deterministic and side-effect free except at the approved top-level platform boundary.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Preferred pattern: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For an external value, model four named stages: IsRangeValid -&gt; IsSequenceValid -&gt; DataAge -&gt; ValidatedRecord. The panel consumes the ValidatedRecord, never the raw frame.</w:t>
            </w:r>
          </w:p>
        </w:tc>
      </w:tr>
    </w:tbl>
    <w:p>
      <w:pPr>
        <w:spacing w:after="40"/>
      </w:pPr>
    </w:p>
    <w:p>
      <w:pPr>
        <w:pStyle w:val="Heading1"/>
      </w:pPr>
      <w:r>
        <w:t>5. State-machine rules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SMS-STM-001  </w:t>
      </w:r>
      <w:r>
        <w:rPr>
          <w:rFonts w:ascii="Calibri" w:hAnsi="Calibri"/>
          <w:b w:val="0"/>
          <w:i w:val="0"/>
          <w:color w:val="000000"/>
          <w:sz w:val="21"/>
        </w:rPr>
        <w:t>A state machine shall model a true mode or sequence and shall have a textual state/transition table linked to the model.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SMS-STM-002  </w:t>
      </w:r>
      <w:r>
        <w:rPr>
          <w:rFonts w:ascii="Calibri" w:hAnsi="Calibri"/>
          <w:b w:val="0"/>
          <w:i w:val="0"/>
          <w:color w:val="000000"/>
          <w:sz w:val="21"/>
        </w:rPr>
        <w:t>Initial state and entry actions shall be explicit. Initialization shall not emit an external command or present data as valid.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SMS-STM-003  </w:t>
      </w:r>
      <w:r>
        <w:rPr>
          <w:rFonts w:ascii="Calibri" w:hAnsi="Calibri"/>
          <w:b w:val="0"/>
          <w:i w:val="0"/>
          <w:color w:val="000000"/>
          <w:sz w:val="21"/>
        </w:rPr>
        <w:t>Transitions from a state shall be mutually exclusive or have documented priority. Priority based only on diagram placement is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SMS-STM-004  </w:t>
      </w:r>
      <w:r>
        <w:rPr>
          <w:rFonts w:ascii="Calibri" w:hAnsi="Calibri"/>
          <w:b w:val="0"/>
          <w:i w:val="0"/>
          <w:color w:val="000000"/>
          <w:sz w:val="21"/>
        </w:rPr>
        <w:t>Every state shall define behaviour for timeout, invalid input and unexpected enum values.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SMS-STM-005  </w:t>
      </w:r>
      <w:r>
        <w:rPr>
          <w:rFonts w:ascii="Calibri" w:hAnsi="Calibri"/>
          <w:b w:val="0"/>
          <w:i w:val="0"/>
          <w:color w:val="000000"/>
          <w:sz w:val="21"/>
        </w:rPr>
        <w:t>Transient events shall be sampled once and acknowledged or cleared deterministically to prevent repeated action across cycles.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SMS-STM-006  </w:t>
      </w:r>
      <w:r>
        <w:rPr>
          <w:rFonts w:ascii="Calibri" w:hAnsi="Calibri"/>
          <w:b w:val="0"/>
          <w:i w:val="0"/>
          <w:color w:val="000000"/>
          <w:sz w:val="21"/>
        </w:rPr>
        <w:t>State count above eight, nesting deeper than two levels or cross-region dependencies require architecture 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2700"/>
        <w:gridCol w:w="16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C2 transition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Guard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Action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Forbidden alternative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IDLE -&gt; ARMED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eligible command AND valid authority AND link available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Store immutable command parameters; start 5 s timer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Arming from a disabled visual state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ARMED -&gt; SENT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event AND timer valid AND guards still valid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Allocate transaction ID; emit one-cycle send pulse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Holding confirm produces repeated pulses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ARMED -&gt; IDLE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cancel OR timeout OR guard loss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Clear parameters and pending visual state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Retaining an expired selection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SENT -&gt; ACCEPTED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ack ID matches AND result accepted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Latch accepted status for operator acknowledgement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Any positive ack satisfies pending request</w:t>
            </w:r>
          </w:p>
        </w:tc>
      </w:tr>
    </w:tbl>
    <w:p>
      <w:pPr>
        <w:spacing w:after="20"/>
      </w:pPr>
    </w:p>
    <w:p>
      <w:pPr>
        <w:pStyle w:val="Heading1"/>
      </w:pPr>
      <w:r>
        <w:t>6. Timing, clocks and initialization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SMS-TIM-001  </w:t>
      </w:r>
      <w:r>
        <w:rPr>
          <w:rFonts w:ascii="Calibri" w:hAnsi="Calibri"/>
          <w:b w:val="0"/>
          <w:i w:val="0"/>
          <w:color w:val="000000"/>
          <w:sz w:val="21"/>
        </w:rPr>
        <w:t>The logical cycle is 50 ms. Timers shall count controlled elapsed milliseconds supplied by the platform and shall define behaviour for missed or repeated ticks.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SMS-TIM-002  </w:t>
      </w:r>
      <w:r>
        <w:rPr>
          <w:rFonts w:ascii="Calibri" w:hAnsi="Calibri"/>
          <w:b w:val="0"/>
          <w:i w:val="0"/>
          <w:color w:val="000000"/>
          <w:sz w:val="21"/>
        </w:rPr>
        <w:t>Threshold comparison semantics shall be explicit: for example, age &gt; 500 ms is STALE while age &lt;= 500 ms remains CURRENT unless the requirement states otherwise.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SMS-TIM-003  </w:t>
      </w:r>
      <w:r>
        <w:rPr>
          <w:rFonts w:ascii="Calibri" w:hAnsi="Calibri"/>
          <w:b w:val="0"/>
          <w:i w:val="0"/>
          <w:color w:val="000000"/>
          <w:sz w:val="21"/>
        </w:rPr>
        <w:t>Timer saturation shall be modelled to prevent rollover from making old data appear current.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SMS-TIM-004  </w:t>
      </w:r>
      <w:r>
        <w:rPr>
          <w:rFonts w:ascii="Calibri" w:hAnsi="Calibri"/>
          <w:b w:val="0"/>
          <w:i w:val="0"/>
          <w:color w:val="000000"/>
          <w:sz w:val="21"/>
        </w:rPr>
        <w:t>Reset and warm-restart behaviour shall be modelled and tested. Restored persisted state shall not include command-pending or data-valid flags.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SMS-TIM-005  </w:t>
      </w:r>
      <w:r>
        <w:rPr>
          <w:rFonts w:ascii="Calibri" w:hAnsi="Calibri"/>
          <w:b w:val="0"/>
          <w:i w:val="0"/>
          <w:color w:val="000000"/>
          <w:sz w:val="21"/>
        </w:rPr>
        <w:t>Rate-transition logic shall define hold, sample and invalidation behaviour; implicit assumptions about producer/consumer phase are prohibited.</w:t>
      </w:r>
    </w:p>
    <w:p>
      <w:pPr>
        <w:pStyle w:val="Heading1"/>
      </w:pPr>
      <w:r>
        <w:t>7. SCADE Display modelling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Topic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Mandatory standard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Coordinate system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the approved 1920 x 1080 logical canvas and panel-local containers; safety text remains within the defined safe area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Layering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Background &lt; map/video &lt; normal symbology &lt; caution &lt; warning &lt; modal command confirmation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Bindings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Bind only to typed panel view-model outputs; no raw bus/transport fields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Visibility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Each safety item has explicit visible, degraded and invalid conditions; default is hidden for invalid data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Assets/fonts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only configuration-controlled assets and embedded font pack; scaling and fallback fonts prohibited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Interaction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UI objects emit typed events; functional command guards remain in SCADE Suite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Colour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controlled palette tokens; colour supplemented by text/icon/shape; no arbitrary per-object colours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SMS-DSP-001  </w:t>
      </w:r>
      <w:r>
        <w:rPr>
          <w:rFonts w:ascii="Calibri" w:hAnsi="Calibri"/>
          <w:b w:val="0"/>
          <w:i w:val="0"/>
          <w:color w:val="000000"/>
          <w:sz w:val="21"/>
        </w:rPr>
        <w:t>A graphical object shall have a unique name, panel owner, layer, requirement link and controlled z-order.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SMS-DSP-002  </w:t>
      </w:r>
      <w:r>
        <w:rPr>
          <w:rFonts w:ascii="Calibri" w:hAnsi="Calibri"/>
          <w:b w:val="0"/>
          <w:i w:val="0"/>
          <w:color w:val="000000"/>
          <w:sz w:val="21"/>
        </w:rPr>
        <w:t>Text boxes shall be sized for the longest approved string plus 15 percent horizontal margin at the controlled font and resolution.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SMS-DSP-003  </w:t>
      </w:r>
      <w:r>
        <w:rPr>
          <w:rFonts w:ascii="Calibri" w:hAnsi="Calibri"/>
          <w:b w:val="0"/>
          <w:i w:val="0"/>
          <w:color w:val="000000"/>
          <w:sz w:val="21"/>
        </w:rPr>
        <w:t>Scaling, rotation and clipping limits shall be specified. Out-of-range symbology shall clamp, hide or show an off-screen cue as required; it shall not wrap accidentally.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SMS-DSP-004  </w:t>
      </w:r>
      <w:r>
        <w:rPr>
          <w:rFonts w:ascii="Calibri" w:hAnsi="Calibri"/>
          <w:b w:val="0"/>
          <w:i w:val="0"/>
          <w:color w:val="000000"/>
          <w:sz w:val="21"/>
        </w:rPr>
        <w:t>Warning and command-confirmation layers shall not be obscured by map, video, menus or advisory layers.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SMS-DSP-005  </w:t>
      </w:r>
      <w:r>
        <w:rPr>
          <w:rFonts w:ascii="Calibri" w:hAnsi="Calibri"/>
          <w:b w:val="0"/>
          <w:i w:val="0"/>
          <w:color w:val="000000"/>
          <w:sz w:val="21"/>
        </w:rPr>
        <w:t>Animation used for emphasis shall have a deterministic period and phase source. Safety meaning shall not depend solely on animation.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SMS-DSP-006  </w:t>
      </w:r>
      <w:r>
        <w:rPr>
          <w:rFonts w:ascii="Calibri" w:hAnsi="Calibri"/>
          <w:b w:val="0"/>
          <w:i w:val="0"/>
          <w:color w:val="000000"/>
          <w:sz w:val="21"/>
        </w:rPr>
        <w:t>Image baselines shall identify resolution, theme, font pack, graphics driver configuration and allowed comparison tolerance.</w:t>
      </w:r>
    </w:p>
    <w:p>
      <w:pPr>
        <w:pStyle w:val="Heading1"/>
      </w:pPr>
      <w:r>
        <w:t>8. Model layout and readability</w:t>
      </w:r>
    </w:p>
    <w:p>
      <w:pPr>
        <w:pStyle w:val="ListBullet"/>
      </w:pPr>
      <w:r>
        <w:t>Data flows left to right and control/state progression top to bottom unless a local annotation explains another arrangement.</w:t>
      </w:r>
    </w:p>
    <w:p>
      <w:pPr>
        <w:pStyle w:val="ListBullet"/>
      </w:pPr>
      <w:r>
        <w:t>Crossings are minimised; long flows use named connections or encapsulated operators, not ambiguous visual wiring.</w:t>
      </w:r>
    </w:p>
    <w:p>
      <w:pPr>
        <w:pStyle w:val="ListBullet"/>
      </w:pPr>
      <w:r>
        <w:t>A diagram should fit on one review screen at normal zoom. Larger logic is decomposed by domain or transformation stage.</w:t>
      </w:r>
    </w:p>
    <w:p>
      <w:pPr>
        <w:pStyle w:val="ListBullet"/>
      </w:pPr>
      <w:r>
        <w:t>Comments explain why, assumptions and safety intent. They do not restate obvious equations.</w:t>
      </w:r>
    </w:p>
    <w:p>
      <w:pPr>
        <w:pStyle w:val="ListBullet"/>
      </w:pPr>
      <w:r>
        <w:t>Disabled, experimental or debug elements are removed before baseline; comments do not substitute for configuration control.</w:t>
      </w:r>
    </w:p>
    <w:p>
      <w:pPr>
        <w:pStyle w:val="Heading1"/>
      </w:pPr>
      <w:r>
        <w:t>9. Libraries and reuse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SMS-LIB-001  </w:t>
      </w:r>
      <w:r>
        <w:rPr>
          <w:rFonts w:ascii="Calibri" w:hAnsi="Calibri"/>
          <w:b w:val="0"/>
          <w:i w:val="0"/>
          <w:color w:val="000000"/>
          <w:sz w:val="21"/>
        </w:rPr>
        <w:t>Reusable operators and display widgets shall be configuration-controlled, versioned, documented and verified for their claimed domain and assumptions.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SMS-LIB-002  </w:t>
      </w:r>
      <w:r>
        <w:rPr>
          <w:rFonts w:ascii="Calibri" w:hAnsi="Calibri"/>
          <w:b w:val="0"/>
          <w:i w:val="0"/>
          <w:color w:val="000000"/>
          <w:sz w:val="21"/>
        </w:rPr>
        <w:t>A library instance shall be traced to the requirements it satisfies and to the exact library version. Copy-and-modify reuse is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SMS-LIB-003  </w:t>
      </w:r>
      <w:r>
        <w:rPr>
          <w:rFonts w:ascii="Calibri" w:hAnsi="Calibri"/>
          <w:b w:val="0"/>
          <w:i w:val="0"/>
          <w:color w:val="000000"/>
          <w:sz w:val="21"/>
        </w:rPr>
        <w:t>Third-party or vendor model libraries shall be assessed for qualification/verification credit, configuration control, limitations and generated-code impact.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SMS-LIB-004  </w:t>
      </w:r>
      <w:r>
        <w:rPr>
          <w:rFonts w:ascii="Calibri" w:hAnsi="Calibri"/>
          <w:b w:val="0"/>
          <w:i w:val="0"/>
          <w:color w:val="000000"/>
          <w:sz w:val="21"/>
        </w:rPr>
        <w:t>Project wrappers shall constrain a generic library operator to project types, ranges, timing and safe defaults.</w:t>
      </w:r>
    </w:p>
    <w:p>
      <w:pPr>
        <w:pStyle w:val="Heading1"/>
      </w:pPr>
      <w:r>
        <w:t>10. Model verification and baseline</w:t>
      </w:r>
    </w:p>
    <w:p>
      <w:pPr>
        <w:pStyle w:val="ListNumber"/>
      </w:pPr>
      <w:r>
        <w:t>Run SCADE model checks and project custom rules with zero unexplained errors or warnings.</w:t>
      </w:r>
    </w:p>
    <w:p>
      <w:pPr>
        <w:pStyle w:val="ListNumber"/>
      </w:pPr>
      <w:r>
        <w:t>Review requirements links, classification, interfaces, initialization, state and safe responses.</w:t>
      </w:r>
    </w:p>
    <w:p>
      <w:pPr>
        <w:pStyle w:val="ListNumber"/>
      </w:pPr>
      <w:r>
        <w:t>Simulate normal, boundary, invalid, stale and restart scenarios before code generation.</w:t>
      </w:r>
    </w:p>
    <w:p>
      <w:pPr>
        <w:pStyle w:val="ListNumber"/>
      </w:pPr>
      <w:r>
        <w:t>Generate code only from an approved model baseline and retain model/generator checksums and logs.</w:t>
      </w:r>
    </w:p>
    <w:p>
      <w:pPr>
        <w:pStyle w:val="ListNumber"/>
      </w:pPr>
      <w:r>
        <w:t>Execute the SCADE Test campaign and analyse model/source coverage for unexercised or unintended elements.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300"/>
        <w:gridCol w:w="33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Prohibited pattern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Reason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alternative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Magic numeric constants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Units and safety meaning are hidden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Named, typed constant linked to requirement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Raw value bound to display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Bypasses range/age/validity control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panel view-model record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Unprioritised overlapping transitions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Execution depends on hidden priority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Mutually exclusive guards or documented priority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Edited generated code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Breaks model-code consistency and reproducibility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model/configuration or isolated wrapper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Colour-only alert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Meaning lost under display/vision conditions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Text/icon/shape plus controlled colour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Test logic inside production model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Contaminates executable baseline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Separate M-TEST package and harness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- Model review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3560"/>
        <w:gridCol w:w="1800"/>
      </w:tblGrid>
      <w:tr>
        <w:trPr>
          <w:tblHeader w:val="true"/>
        </w:trPr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Check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Model role/classification and requirement links are explicit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Package/operator properties and trace report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Types, units, ranges and conversions are controlled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Type package and interface review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State, timing, initialization and failure responses are complete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 review and scenario results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Display bindings use validated view models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Binding report and panel inspection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No prohibited pattern or unexplained rule-check finding remains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Rule-check report and deviations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Generation is reproducible from identified inputs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Configuration, logs and checksum comparison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Conformance and deviations</w:t>
      </w:r>
    </w:p>
    <w:p>
      <w:r>
        <w:t>A work product conforms when every applicable shall statement is met and the review evidence is recorded. A deviation shall identify the affected rule, technical rationale, safety impact, compensating verification, owner and approval. Software Quality Assurance records deviations and confirms closure before release.</w:t>
      </w:r>
    </w:p>
    <w:p>
      <w:pPr>
        <w:pStyle w:val="Heading1"/>
      </w:pPr>
      <w:r>
        <w:t>References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Reference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Use in this standard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DO-178C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Considerations in Airborne Systems and Equipment Certification,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DO-330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Tool Qualification Considerations,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DO-331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Model-Based Development and Verification Supplement to DO-178C and DO-278A,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FAA AC 20-115D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Airborne Software Development Assurance Using EUROCAE ED-12() and RTCA DO-178().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FAA Order 8110.49A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Approval Guidelines.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Ansys SCADE Suite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Official product information for model-based development and qualifiable code generation.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Ansys SCADE Display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Official product information for safety-critical HMI development and code generation.</w:t>
            </w:r>
          </w:p>
        </w:tc>
      </w:tr>
    </w:tbl>
    <w:p>
      <w:pPr>
        <w:spacing w:after="20"/>
      </w:pPr>
    </w:p>
    <w:p>
      <w:pPr>
        <w:spacing w:before="80" w:after="80"/>
      </w:pPr>
      <w:hyperlink r:id="rId11">
        <w:r>
          <w:rPr>
            <w:color w:val="2E74B5"/>
            <w:u w:val="single"/>
          </w:rPr>
          <w:t>FAA AC 20-115D</w:t>
        </w:r>
      </w:hyperlink>
      <w:r>
        <w:t xml:space="preserve"> | </w:t>
      </w:r>
      <w:hyperlink r:id="rId12">
        <w:r>
          <w:rPr>
            <w:color w:val="2E74B5"/>
            <w:u w:val="single"/>
          </w:rPr>
          <w:t>FAA Order 8110.49A</w:t>
        </w:r>
      </w:hyperlink>
      <w:r>
        <w:t xml:space="preserve"> | </w:t>
      </w:r>
      <w:hyperlink r:id="rId13">
        <w:r>
          <w:rPr>
            <w:color w:val="2E74B5"/>
            <w:u w:val="single"/>
          </w:rPr>
          <w:t>Ansys SCADE Suite</w:t>
        </w:r>
      </w:hyperlink>
      <w:r>
        <w:t xml:space="preserve"> | </w:t>
      </w:r>
      <w:hyperlink r:id="rId14">
        <w:r>
          <w:rPr>
            <w:color w:val="2E74B5"/>
            <w:u w:val="single"/>
          </w:rPr>
          <w:t>Ansys SCADE Display</w:t>
        </w:r>
      </w:hyperlink>
    </w:p>
    <w:p>
      <w:r>
        <w:t>Project references: DCDS-PSAC-001 Plan for Software Aspects of Certification; DCDS-SDP-001 Software Development Plan; DCDS-SVP-001 Software Verification Plan; DCDS-SCMP-001 Software Configuration Management Plan; DCDS-SQAP-001 Software Quality Assurance Plan; DCDS-SCI-001 Software Configuration Index. These are mock companion records and are not included in this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5B6573"/>
        <w:sz w:val="17"/>
      </w:rPr>
      <w:t xml:space="preserve">DCDS-SMS-001 Rev A  |  UNCONTROLLED WHEN PRINTED  |  Page </w:t>
    </w:r>
    <w:r>
      <w:rPr>
        <w:rFonts w:ascii="Calibri" w:hAnsi="Calibri"/>
        <w:b w:val="0"/>
        <w:i w:val="0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 w:val="0"/>
        <w:i w:val="0"/>
        <w:color w:val="5B6573"/>
        <w:sz w:val="17"/>
      </w:rPr>
      <w:t>Software Modelling Standard  |  SkyGuard Drone Control Display System (DCDS)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keepLines/>
      <w:spacing w:before="60" w:after="100"/>
      <w:ind w:left="259" w:right="173"/>
    </w:pPr>
    <w:rPr>
      <w:rFonts w:ascii="Calibri" w:hAnsi="Calibri"/>
      <w:sz w:val="21"/>
    </w:rPr>
  </w:style>
  <w:style w:type="paragraph" w:customStyle="1" w:styleId="TableText">
    <w:name w:val="Table Text"/>
    <w:basedOn w:val="Normal"/>
    <w:pPr>
      <w:spacing w:before="0" w:after="40" w:line="252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aa.gov/documentLibrary/media/Advisory_Circular/AC_20-115D.pdf" TargetMode="External"/><Relationship Id="rId12" Type="http://schemas.openxmlformats.org/officeDocument/2006/relationships/hyperlink" Target="https://www.faa.gov/documentLibrary/media/Order/FAA_Order_8110.49A.pdf" TargetMode="External"/><Relationship Id="rId13" Type="http://schemas.openxmlformats.org/officeDocument/2006/relationships/hyperlink" Target="https://www.ansys.com/products/embedded-software/ansys-scade-suite" TargetMode="External"/><Relationship Id="rId14" Type="http://schemas.openxmlformats.org/officeDocument/2006/relationships/hyperlink" Target="https://www.ansys.com/products/embedded-software/ansys-scade-disp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Modelling Standard</dc:title>
  <dc:subject>SkyGuard Drone Control Display System (DCDS)</dc:subject>
  <dc:creator>DCDS Project</dc:creator>
  <cp:keywords>DO-178C, DO-331, SCADE, drone, software assurance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