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Oak Ridges Moraine Protection Act, 2001</w:t>
      </w:r>
    </w:p>
    <w:p>
      <w:pPr>
        <w:pStyle w:val="chapter"/>
        <w:rPr/>
      </w:pPr>
      <w:hyperlink r:id="rId3">
        <w:r>
          <w:rPr>
            <w:rStyle w:val="Hyperlink"/>
          </w:rPr>
          <w:t xml:space="preserve">S.O. 2001, Chapter </w:t>
        </w:r>
        <w:r>
          <w:rPr>
            <w:rStyle w:val="Hyperlink"/>
            <w:smallCaps/>
          </w:rPr>
          <w:t>3</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November 17, 2001 to the </w:t>
      </w:r>
      <w:hyperlink r:id="rId4">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"http://www.ontario.ca/laws/statute/S01003" \l "s10"</w:instrText>
      </w:r>
      <w:r>
        <w:rPr>
          <w:rStyle w:val="Hyperlink"/>
        </w:rPr>
        <w:fldChar w:fldCharType="separate"/>
      </w:r>
      <w:r>
        <w:rPr>
          <w:rStyle w:val="Hyperlink"/>
        </w:rPr>
        <w:t>2001, c. 3, s.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"http://www.ontario.ca/laws/statute/S01003" \l "s10"</w:instrText>
      </w:r>
      <w:r>
        <w:rPr>
          <w:rStyle w:val="Hyperlink"/>
        </w:rPr>
        <w:fldChar w:fldCharType="separate"/>
      </w:r>
      <w:r>
        <w:rPr>
          <w:rStyle w:val="Hyperlink"/>
        </w:rPr>
        <w:t>2001, c. 3, s. 10</w:t>
      </w:r>
      <w:r>
        <w:rPr>
          <w:rStyle w:val="Hyperlink"/>
        </w:rPr>
        <w:fldChar w:fldCharType="end"/>
      </w:r>
      <w:r>
        <w:rPr>
          <w:lang w:val="fr-CA"/>
        </w:rPr>
        <w:t>.</w:t>
      </w:r>
    </w:p>
    <w:p>
      <w:pPr>
        <w:pStyle w:val="section"/>
        <w:rPr/>
      </w:pPr>
      <w:r>
        <w:rPr>
          <w:b/>
        </w:rPr>
        <w:t>1.</w:t>
      </w:r>
      <w:r>
        <w:rPr/>
        <w:t>-</w:t>
      </w:r>
      <w:r>
        <w:rPr>
          <w:b/>
        </w:rPr>
        <w:t xml:space="preserve">6 </w:t>
      </w:r>
      <w:r>
        <w:rPr>
          <w:bCs/>
          <w:smallCaps/>
        </w:rPr>
        <w:t>Repealed</w:t>
      </w:r>
      <w:r>
        <w:rPr>
          <w:bCs/>
        </w:rPr>
        <w:t>:  2001, c. 3,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"http://www.ontario.ca/laws/statute/S01003" \l "s10"</w:instrText>
      </w:r>
      <w:r>
        <w:rPr>
          <w:rStyle w:val="Hyperlink"/>
        </w:rPr>
        <w:fldChar w:fldCharType="separate"/>
      </w:r>
      <w:r>
        <w:rPr>
          <w:rStyle w:val="Hyperlink"/>
        </w:rPr>
        <w:t>2001, c. 3, s. 10</w:t>
      </w:r>
      <w:r>
        <w:rPr>
          <w:rStyle w:val="Hyperlink"/>
        </w:rPr>
        <w:fldChar w:fldCharType="end"/>
      </w:r>
      <w:r>
        <w:rPr/>
        <w:t xml:space="preserve"> - 17/11/2001</w:t>
      </w:r>
    </w:p>
    <w:p>
      <w:pPr>
        <w:pStyle w:val="headnote"/>
        <w:rPr/>
      </w:pPr>
      <w:r>
        <w:rPr/>
        <w:t>Regulations to exempt</w:t>
      </w:r>
    </w:p>
    <w:p>
      <w:pPr>
        <w:pStyle w:val="section"/>
        <w:rPr/>
      </w:pPr>
      <w:bookmarkStart w:id="1" w:name="BK0"/>
      <w:bookmarkEnd w:id="1"/>
      <w:r>
        <w:rPr>
          <w:b/>
        </w:rPr>
        <w:t xml:space="preserve">7 </w:t>
      </w:r>
      <w:r>
        <w:rPr/>
        <w:t>(1)  </w:t>
      </w:r>
      <w:r>
        <w:rPr>
          <w:bCs/>
          <w:smallCaps/>
        </w:rPr>
        <w:t>Repealed</w:t>
      </w:r>
      <w:r>
        <w:rPr>
          <w:bCs/>
        </w:rPr>
        <w:t>:  2001, c. 3, s. 10.</w:t>
      </w:r>
    </w:p>
    <w:p>
      <w:pPr>
        <w:pStyle w:val="headnote"/>
        <w:rPr/>
      </w:pPr>
      <w:r>
        <w:rPr/>
        <w:t>Same</w:t>
      </w:r>
    </w:p>
    <w:p>
      <w:pPr>
        <w:pStyle w:val="subsection"/>
        <w:rPr/>
      </w:pPr>
      <w:r>
        <w:rPr/>
        <w:t>(2)  Section 8 applies to land that is exempted under subsection (1) as if sections 1 to 6 had been repealed on the date of the exemption.  2001, c. 3, s. 7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"http://www.ontario.ca/laws/statute/S01003" \l "s10"</w:instrText>
      </w:r>
      <w:r>
        <w:rPr>
          <w:rStyle w:val="Hyperlink"/>
        </w:rPr>
        <w:fldChar w:fldCharType="separate"/>
      </w:r>
      <w:r>
        <w:rPr>
          <w:rStyle w:val="Hyperlink"/>
        </w:rPr>
        <w:t>2001, c. 3, s. 10</w:t>
      </w:r>
      <w:r>
        <w:rPr>
          <w:rStyle w:val="Hyperlink"/>
        </w:rPr>
        <w:fldChar w:fldCharType="end"/>
      </w:r>
      <w:r>
        <w:rPr/>
        <w:t xml:space="preserve"> - 17/11/2001</w:t>
      </w:r>
    </w:p>
    <w:p>
      <w:pPr>
        <w:pStyle w:val="headnote"/>
        <w:rPr/>
      </w:pPr>
      <w:r>
        <w:rPr/>
        <w:t>Continuation of matters</w:t>
      </w:r>
    </w:p>
    <w:p>
      <w:pPr>
        <w:pStyle w:val="section"/>
        <w:rPr/>
      </w:pPr>
      <w:bookmarkStart w:id="2" w:name="BK1"/>
      <w:bookmarkEnd w:id="2"/>
      <w:r>
        <w:rPr>
          <w:b/>
        </w:rPr>
        <w:t xml:space="preserve">8 </w:t>
      </w:r>
      <w:r>
        <w:rPr/>
        <w:t>(1)  On the repeal of sections 1 to 6, all applications, appeals, referrals, procedures and hearings that were stayed under those sections are continued as if those sections had never been enacted and any time periods shall be calculated as if no time had passed between the day the matter was stayed and the repeal of sections 1 to 6.  2001, c. 3, s. 8 (1).</w:t>
      </w:r>
    </w:p>
    <w:p>
      <w:pPr>
        <w:pStyle w:val="headnote"/>
        <w:rPr/>
      </w:pPr>
      <w:r>
        <w:rPr/>
        <w:t>Future legislation</w:t>
      </w:r>
    </w:p>
    <w:p>
      <w:pPr>
        <w:pStyle w:val="subsection"/>
        <w:rPr>
          <w:b/>
          <w:bCs/>
        </w:rPr>
      </w:pPr>
      <w:r>
        <w:rPr/>
        <w:t>(2)  For greater certainty, subsection (1) shall not be construed as limiting the application or effect of any Act enacted after May 17, 2001 or of any regulation made after May 17, 2001.  2001, c. 3, s. 8 (2).</w:t>
      </w:r>
    </w:p>
    <w:p>
      <w:pPr>
        <w:pStyle w:val="headnote"/>
        <w:rPr/>
      </w:pPr>
      <w:r>
        <w:rPr/>
        <w:t>No cause of action results</w:t>
      </w:r>
    </w:p>
    <w:p>
      <w:pPr>
        <w:pStyle w:val="section"/>
        <w:rPr/>
      </w:pPr>
      <w:bookmarkStart w:id="3" w:name="BK2"/>
      <w:bookmarkEnd w:id="3"/>
      <w:r>
        <w:rPr>
          <w:b/>
        </w:rPr>
        <w:t xml:space="preserve">9 </w:t>
      </w:r>
      <w:r>
        <w:rPr/>
        <w:t>(1)  No cause of action arises as a direct or indirect result of the enactment or repeal of any provision of this Act or anything done or not done under sections 6 and 7.  2001, c. 3, s. 9 (1).</w:t>
      </w:r>
    </w:p>
    <w:p>
      <w:pPr>
        <w:pStyle w:val="headnote"/>
        <w:rPr/>
      </w:pPr>
      <w:r>
        <w:rPr/>
        <w:t>No remedy</w:t>
      </w:r>
    </w:p>
    <w:p>
      <w:pPr>
        <w:pStyle w:val="subsection"/>
        <w:rPr/>
      </w:pPr>
      <w:r>
        <w:rPr/>
        <w:t>(2)  No costs, compensation or damages are owing or payable to any person and no remedy, including but not limited to a remedy in contract, restitution, tort or trust, is available to any person in connection with,</w:t>
      </w:r>
    </w:p>
    <w:p>
      <w:pPr>
        <w:pStyle w:val="paragraph"/>
        <w:rPr/>
      </w:pPr>
      <w:r>
        <w:rPr/>
        <w:tab/>
        <w:t>(a)</w:t>
        <w:tab/>
        <w:t>the enactment or repeal of any provision of this Act; or</w:t>
      </w:r>
    </w:p>
    <w:p>
      <w:pPr>
        <w:pStyle w:val="paragraph"/>
        <w:rPr/>
      </w:pPr>
      <w:r>
        <w:rPr/>
        <w:tab/>
        <w:t>(b)</w:t>
        <w:tab/>
        <w:t>anything done or not done under sections 6 and 7.  2001, c. 3, s. 9 (2).</w:t>
      </w:r>
    </w:p>
    <w:p>
      <w:pPr>
        <w:pStyle w:val="headnote"/>
        <w:rPr/>
      </w:pPr>
      <w:r>
        <w:rPr/>
        <w:t>Proceedings barred</w:t>
      </w:r>
    </w:p>
    <w:p>
      <w:pPr>
        <w:pStyle w:val="subsection"/>
        <w:rPr/>
      </w:pPr>
      <w:r>
        <w:rPr/>
        <w:t>(3)  No proceeding, including but not limited to any proceeding in contract, restitution, tort or trust, that is directly or indirectly based on or related to the enactment or repeal of any provision of this Act or anything done or not done under sections 6 and 7 may be brought or maintained against any person.  2001, c. 3, s. 9 (3).</w:t>
      </w:r>
    </w:p>
    <w:p>
      <w:pPr>
        <w:pStyle w:val="headnote"/>
        <w:rPr/>
      </w:pPr>
      <w:r>
        <w:rPr/>
        <w:t>Person defined</w:t>
      </w:r>
    </w:p>
    <w:p>
      <w:pPr>
        <w:pStyle w:val="subsection"/>
        <w:rPr/>
      </w:pPr>
      <w:r>
        <w:rPr/>
        <w:t>(4)  In this section, “person” includes, but is not limited to, the Crown, a member of the Executive Council, an employee of the Crown and an agent of the Crown.  2001, c. 3, s. 9 (4).</w:t>
      </w:r>
    </w:p>
    <w:p>
      <w:pPr>
        <w:pStyle w:val="headnote"/>
        <w:rPr/>
      </w:pPr>
      <w:r>
        <w:rPr/>
        <w:t>Same</w:t>
      </w:r>
    </w:p>
    <w:p>
      <w:pPr>
        <w:pStyle w:val="subsection"/>
        <w:rPr/>
      </w:pPr>
      <w:r>
        <w:rPr/>
        <w:t>(5)  Subsection (3) applies regardless of whether the cause of action on which the proceeding is purportedly based arose before or after the coming into force of this Act.  2001, c. 3, s. 9 (5).</w:t>
      </w:r>
    </w:p>
    <w:p>
      <w:pPr>
        <w:pStyle w:val="headnote"/>
        <w:rPr/>
      </w:pPr>
      <w:r>
        <w:rPr/>
        <w:t>Proceedings set aside</w:t>
      </w:r>
    </w:p>
    <w:p>
      <w:pPr>
        <w:pStyle w:val="subsection"/>
        <w:rPr/>
      </w:pPr>
      <w:r>
        <w:rPr/>
        <w:t>(6)  Any proceeding referred to in subsection (3) commenced before the day this Act comes into force shall be deemed to have been dismissed, without costs, on the day this Act comes into force and any decision in a proceeding referred to in subsection (3) made on or after May 17, 2001 is of no effect.  2001, c. 3, s. 9 (6).</w:t>
      </w:r>
    </w:p>
    <w:p>
      <w:pPr>
        <w:pStyle w:val="section"/>
        <w:rPr/>
      </w:pPr>
      <w:r>
        <w:rPr>
          <w:b/>
        </w:rPr>
        <w:t>10</w:t>
      </w:r>
      <w:r>
        <w:rPr>
          <w:b/>
          <w:bCs/>
        </w:rPr>
        <w:t xml:space="preserve"> </w:t>
      </w:r>
      <w:r>
        <w:rPr>
          <w:smallCaps/>
        </w:rPr>
        <w:t>Omitted (provides for repeal of certain provisions of this Act)</w:t>
      </w:r>
      <w:r>
        <w:rPr/>
        <w:t>.  2001, c. 3, s. 10.</w:t>
      </w:r>
    </w:p>
    <w:p>
      <w:pPr>
        <w:pStyle w:val="section"/>
        <w:rPr/>
      </w:pPr>
      <w:r>
        <w:rPr>
          <w:b/>
        </w:rPr>
        <w:t>11</w:t>
      </w:r>
      <w:r>
        <w:rPr>
          <w:b/>
          <w:bCs/>
        </w:rPr>
        <w:t xml:space="preserve"> </w:t>
      </w:r>
      <w:r>
        <w:rPr>
          <w:smallCaps/>
        </w:rPr>
        <w:t>Omitted (provides for coming into force of provisions of this Act)</w:t>
      </w:r>
      <w:r>
        <w:rPr/>
        <w:t>.  2001, c. 3, s. 11.</w:t>
      </w:r>
    </w:p>
    <w:p>
      <w:pPr>
        <w:pStyle w:val="section"/>
        <w:rPr/>
      </w:pPr>
      <w:r>
        <w:rPr>
          <w:b/>
        </w:rPr>
        <w:t>12</w:t>
      </w:r>
      <w:r>
        <w:rPr>
          <w:b/>
          <w:bCs/>
        </w:rPr>
        <w:t xml:space="preserve"> </w:t>
      </w:r>
      <w:r>
        <w:rPr>
          <w:smallCaps/>
        </w:rPr>
        <w:t>Omitted (enacts short title of this Act)</w:t>
      </w:r>
      <w:r>
        <w:rPr/>
        <w:t>.  2001, c. 3, s. 12.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3">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TMLCite">
    <w:name w:val="HTML Cite"/>
    <w:qFormat/>
    <w:rPr>
      <w:i/>
      <w:iCs/>
    </w:rPr>
  </w:style>
  <w:style w:type="character" w:styleId="Hyperlink">
    <w:name w:val="Hyperlink"/>
    <w:rPr>
      <w:color w:val="000000"/>
      <w:u w:val="none"/>
    </w:rPr>
  </w:style>
  <w:style w:type="character" w:styleId="FollowedHyperlink">
    <w:name w:val="FollowedHyperlink"/>
    <w:rPr>
      <w:color w:val="800080"/>
      <w:u w:val="single"/>
    </w:rPr>
  </w:style>
  <w:style w:type="character" w:styleId="Strong">
    <w:name w:val="Strong"/>
    <w:qFormat/>
    <w:rPr>
      <w:b/>
      <w:b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1o03" TargetMode="External"/><Relationship Id="rId3" Type="http://schemas.openxmlformats.org/officeDocument/2006/relationships/hyperlink" Target="https://www.ontario.ca/laws/statute/s0100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1o0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2002-09-11T14:35:00Z</dcterms:created>
  <dc:creator/>
  <dc:description/>
  <cp:keywords/>
  <dc:language>en-CA</dc:language>
  <cp:lastModifiedBy/>
  <cp:lastPrinted>2002-09-11T15:36:00Z</cp:lastPrinted>
  <dcterms:modified xsi:type="dcterms:W3CDTF">2017-08-04T12:56:00Z</dcterms:modified>
  <cp:revision>59</cp:revision>
  <dc:subject/>
  <dc:title>Oak Ridges Moraine Protection Act, 2001, S.O. 2001, c.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20011117</vt:lpwstr>
  </property>
  <property fmtid="{D5CDD505-2E9C-101B-9397-08002B2CF9AE}" pid="3" name="To Date">
    <vt:lpwstr>Present</vt:lpwstr>
  </property>
</Properties>
</file>