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Mandatory Gunshot Wounds Reporting Act, 2005</w:t>
      </w:r>
    </w:p>
    <w:p>
      <w:pPr>
        <w:pStyle w:val="chapter"/>
        <w:rPr>
          <w:smallCaps/>
        </w:rPr>
      </w:pPr>
      <w:hyperlink r:id="rId3">
        <w:r>
          <w:rPr>
            <w:rStyle w:val="Hyperlink"/>
          </w:rPr>
          <w:t xml:space="preserve">S.o. </w:t>
        </w:r>
        <w:r>
          <w:rPr>
            <w:rStyle w:val="Hyperlink"/>
            <w:smallCaps/>
          </w:rPr>
          <w:t>2005</w:t>
        </w:r>
        <w:r>
          <w:rPr>
            <w:rStyle w:val="Hyperlink"/>
          </w:rPr>
          <w:t xml:space="preserve">, chapter </w:t>
        </w:r>
        <w:r>
          <w:rPr>
            <w:rStyle w:val="Hyperlink"/>
            <w:smallCaps/>
          </w:rPr>
          <w:t>9</w:t>
        </w:r>
      </w:hyperlink>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"sched4s30s1"</w:instrText>
      </w:r>
      <w:r>
        <w:rPr>
          <w:rStyle w:val="Hyperlink"/>
        </w:rPr>
        <w:fldChar w:fldCharType="separate"/>
      </w:r>
      <w:r>
        <w:rPr>
          <w:rStyle w:val="Hyperlink"/>
        </w:rPr>
        <w:t>2019, c. 1, Sched. 4, s. 30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"http://www.ontario.ca/laws/statute/S18003" \l "sched5s32s1"</w:instrText>
      </w:r>
      <w:r>
        <w:rPr>
          <w:rStyle w:val="Hyperlink"/>
        </w:rPr>
        <w:fldChar w:fldCharType="separate"/>
      </w:r>
      <w:r>
        <w:rPr>
          <w:rStyle w:val="Hyperlink"/>
        </w:rPr>
        <w:t>2018, c. 3, Sched. 5, s. 32</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"sched4s30s1"</w:instrText>
      </w:r>
      <w:r>
        <w:rPr>
          <w:rStyle w:val="Hyperlink"/>
        </w:rPr>
        <w:fldChar w:fldCharType="separate"/>
      </w:r>
      <w:r>
        <w:rPr>
          <w:rStyle w:val="Hyperlink"/>
        </w:rPr>
        <w:t>2019, c. 1, Sched. 4, s. 30</w:t>
      </w:r>
      <w:r>
        <w:rPr>
          <w:rStyle w:val="Hyperlink"/>
        </w:rPr>
        <w:fldChar w:fldCharType="end"/>
      </w:r>
      <w:r>
        <w:rPr/>
        <w:t>.</w:t>
      </w:r>
    </w:p>
    <w:p>
      <w:pPr>
        <w:pStyle w:val="headnote"/>
        <w:rPr/>
      </w:pPr>
      <w:r>
        <w:rPr/>
        <w:t>Preamble</w:t>
      </w:r>
    </w:p>
    <w:p>
      <w:pPr>
        <w:pStyle w:val="preamble"/>
        <w:rPr/>
      </w:pPr>
      <w:r>
        <w:rPr/>
        <w:t>The people of Ontario recognize that gunfire poses serious risks to public safety and that mandatory reporting of gunshot wounds will enable police to take immediate steps to prevent further violence, injury or death.</w:t>
      </w:r>
    </w:p>
    <w:p>
      <w:pPr>
        <w:pStyle w:val="preamble"/>
        <w:rPr/>
      </w:pPr>
      <w:r>
        <w:rPr/>
        <w:t>Therefore, Her Majesty, by and with the advice and consent of the Legislative Assembly of the Province of Ontario, enacts as follows:</w:t>
      </w:r>
    </w:p>
    <w:p>
      <w:pPr>
        <w:pStyle w:val="headnote"/>
        <w:rPr/>
      </w:pPr>
      <w:r>
        <w:rPr/>
        <w:t>Definition</w:t>
      </w:r>
    </w:p>
    <w:p>
      <w:pPr>
        <w:pStyle w:val="section"/>
        <w:rPr/>
      </w:pPr>
      <w:r>
        <w:rPr>
          <w:b/>
          <w:bCs/>
        </w:rPr>
        <w:t xml:space="preserve">1 </w:t>
      </w:r>
      <w:r>
        <w:rPr/>
        <w:t>In this Act,</w:t>
      </w:r>
    </w:p>
    <w:p>
      <w:pPr>
        <w:pStyle w:val="definition"/>
        <w:rPr/>
      </w:pPr>
      <w:r>
        <w:rPr/>
        <w:t>“</w:t>
      </w:r>
      <w:r>
        <w:rPr/>
        <w:t>facility” means,</w:t>
      </w:r>
    </w:p>
    <w:p>
      <w:pPr>
        <w:pStyle w:val="paragraph"/>
        <w:rPr/>
      </w:pPr>
      <w:r>
        <w:rPr/>
        <w:tab/>
        <w:t>(a)</w:t>
        <w:tab/>
        <w:t xml:space="preserve">a hospital as defined in the </w:t>
      </w:r>
      <w:r>
        <w:rPr>
          <w:rStyle w:val="ovitalic"/>
        </w:rPr>
        <w:t>Public Hospitals Act</w:t>
      </w:r>
      <w:r>
        <w:rPr/>
        <w:t xml:space="preserve">, </w:t>
      </w:r>
    </w:p>
    <w:p>
      <w:pPr>
        <w:pStyle w:val="paragraph"/>
        <w:rPr/>
      </w:pPr>
      <w:r>
        <w:rPr/>
        <w:tab/>
        <w:t>(b)</w:t>
        <w:tab/>
        <w:t xml:space="preserve">an organization or institution that provides health care services and belongs to a prescribed class, </w:t>
      </w:r>
    </w:p>
    <w:p>
      <w:pPr>
        <w:pStyle w:val="paragraph"/>
        <w:rPr/>
      </w:pPr>
      <w:r>
        <w:rPr/>
        <w:tab/>
        <w:t>(c)</w:t>
        <w:tab/>
        <w:t>if a regulation is made under clause 5 (b), a clinic that provides health care services, or</w:t>
      </w:r>
    </w:p>
    <w:p>
      <w:pPr>
        <w:pStyle w:val="paragraph"/>
        <w:rPr/>
      </w:pPr>
      <w:r>
        <w:rPr/>
        <w:tab/>
        <w:t>(d)</w:t>
        <w:tab/>
        <w:t>if a regulation is made under clause 5 (c), a medical doctor’s office.  2005, c. 9, s. 1.</w:t>
      </w:r>
    </w:p>
    <w:p>
      <w:pPr>
        <w:pStyle w:val="headnote"/>
        <w:rPr/>
      </w:pPr>
      <w:r>
        <w:rPr/>
        <w:t>Mandatory disclosure of gunshot wounds</w:t>
      </w:r>
    </w:p>
    <w:p>
      <w:pPr>
        <w:pStyle w:val="section"/>
        <w:rPr/>
      </w:pPr>
      <w:r>
        <w:rPr>
          <w:b/>
          <w:bCs/>
        </w:rPr>
        <w:t xml:space="preserve">2 </w:t>
      </w:r>
      <w:r>
        <w:rPr/>
        <w:t>(1)  Every facility that treats a person for a gunshot wound shall disclose to the local police service or the local Ontario Provincial Police detachment the fact that a person is being treated for a gunshot wound, the person’s name, if known, and the name and location of the facility.  2005, c. 9, s. 2 (1); 2019, c. 1, Sched. 4, s. 30 (1).</w:t>
      </w:r>
    </w:p>
    <w:p>
      <w:pPr>
        <w:pStyle w:val="headnote"/>
        <w:rPr/>
      </w:pPr>
      <w:r>
        <w:rPr/>
        <w:t>Manner and timing of disclosure</w:t>
      </w:r>
    </w:p>
    <w:p>
      <w:pPr>
        <w:pStyle w:val="subsection"/>
        <w:rPr/>
      </w:pPr>
      <w:r>
        <w:rPr/>
        <w:t>(2)  The disclosure must be made orally and as soon as it is reasonably practicable to do so without interfering with the person’s treatment or disrupting the regular activities of the facility.  2005, c. 9,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"sched5s32s1"</w:instrText>
      </w:r>
      <w:r>
        <w:rPr>
          <w:rStyle w:val="Hyperlink"/>
        </w:rPr>
        <w:fldChar w:fldCharType="separate"/>
      </w:r>
      <w:r>
        <w:rPr>
          <w:rStyle w:val="Hyperlink"/>
        </w:rPr>
        <w:t>2018, c. 3, Sched. 5, s. 32 (1)</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"sched4s30s1"</w:instrText>
      </w:r>
      <w:r>
        <w:rPr>
          <w:rStyle w:val="Hyperlink"/>
        </w:rPr>
        <w:fldChar w:fldCharType="separate"/>
      </w:r>
      <w:r>
        <w:rPr>
          <w:rStyle w:val="Hyperlink"/>
        </w:rPr>
        <w:t>2019, c. 1, Sched. 4, s. 30 (1)</w:t>
      </w:r>
      <w:r>
        <w:rPr>
          <w:rStyle w:val="Hyperlink"/>
        </w:rPr>
        <w:fldChar w:fldCharType="end"/>
      </w:r>
      <w:r>
        <w:rPr/>
        <w:t xml:space="preserve"> - 01/04/2024</w:t>
      </w:r>
    </w:p>
    <w:p>
      <w:pPr>
        <w:pStyle w:val="headnote"/>
        <w:rPr/>
      </w:pPr>
      <w:r>
        <w:rPr/>
        <w:t>Other obligations not affected</w:t>
      </w:r>
    </w:p>
    <w:p>
      <w:pPr>
        <w:pStyle w:val="section"/>
        <w:rPr/>
      </w:pPr>
      <w:r>
        <w:rPr>
          <w:b/>
          <w:bCs/>
        </w:rPr>
        <w:t xml:space="preserve">3 </w:t>
      </w:r>
      <w:r>
        <w:rPr/>
        <w:t>Nothing in this Act shall prevent a facility from disclosing information to a police service that the facility is otherwise by law permitted or authorized to disclose.  2005, c. 9, s. 3; 2019, c. 1, Sched. 4, s. 30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"sched5s32s2"</w:instrText>
      </w:r>
      <w:r>
        <w:rPr>
          <w:rStyle w:val="Hyperlink"/>
        </w:rPr>
        <w:fldChar w:fldCharType="separate"/>
      </w:r>
      <w:r>
        <w:rPr>
          <w:rStyle w:val="Hyperlink"/>
        </w:rPr>
        <w:t>2018, c. 3, Sched. 5, s. 32 (2)</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"sched4s30s2"</w:instrText>
      </w:r>
      <w:r>
        <w:rPr>
          <w:rStyle w:val="Hyperlink"/>
        </w:rPr>
        <w:fldChar w:fldCharType="separate"/>
      </w:r>
      <w:r>
        <w:rPr>
          <w:rStyle w:val="Hyperlink"/>
        </w:rPr>
        <w:t>2019, c. 1, Sched. 4, s. 30 (2)</w:t>
      </w:r>
      <w:r>
        <w:rPr>
          <w:rStyle w:val="Hyperlink"/>
        </w:rPr>
        <w:fldChar w:fldCharType="end"/>
      </w:r>
      <w:r>
        <w:rPr/>
        <w:t xml:space="preserve"> - 01/04/2024</w:t>
      </w:r>
    </w:p>
    <w:p>
      <w:pPr>
        <w:pStyle w:val="headnote"/>
        <w:rPr/>
      </w:pPr>
      <w:r>
        <w:rPr/>
        <w:t>Protection from liability</w:t>
      </w:r>
    </w:p>
    <w:p>
      <w:pPr>
        <w:pStyle w:val="section"/>
        <w:rPr/>
      </w:pPr>
      <w:r>
        <w:rPr>
          <w:b/>
          <w:bCs/>
        </w:rPr>
        <w:t xml:space="preserve">4 </w:t>
      </w:r>
      <w:r>
        <w:rPr/>
        <w:t>No action or other proceeding for damages shall be instituted against a facility, a director, officer or employee of a facility or a health care practitioner for any act done in good faith in the execution or intended execution of a duty under this Act or for any alleged neglect or default in the execution in good faith of that duty.  2005, c. 9, s. 4.</w:t>
      </w:r>
    </w:p>
    <w:p>
      <w:pPr>
        <w:pStyle w:val="headnote"/>
        <w:rPr/>
      </w:pPr>
      <w:r>
        <w:rPr/>
        <w:t>Regulations</w:t>
      </w:r>
    </w:p>
    <w:p>
      <w:pPr>
        <w:pStyle w:val="section"/>
        <w:rPr/>
      </w:pPr>
      <w:r>
        <w:rPr>
          <w:b/>
          <w:bCs/>
        </w:rPr>
        <w:t xml:space="preserve">5 </w:t>
      </w:r>
      <w:r>
        <w:rPr/>
        <w:t xml:space="preserve">The Lieutenant Governor in Council may make regulations, </w:t>
      </w:r>
    </w:p>
    <w:p>
      <w:pPr>
        <w:pStyle w:val="paragraph"/>
        <w:rPr/>
      </w:pPr>
      <w:r>
        <w:rPr/>
        <w:tab/>
        <w:t>(a)</w:t>
        <w:tab/>
        <w:t xml:space="preserve">prescribing organizations and institutions that provide health care services, or classes of them, that are facilities for the purposes of this Act; </w:t>
      </w:r>
    </w:p>
    <w:p>
      <w:pPr>
        <w:pStyle w:val="paragraph"/>
        <w:rPr/>
      </w:pPr>
      <w:r>
        <w:rPr/>
        <w:tab/>
        <w:t>(b)</w:t>
        <w:tab/>
        <w:t>adding a clinic that provides health care services to the definition of “facility” in section 1;</w:t>
      </w:r>
    </w:p>
    <w:p>
      <w:pPr>
        <w:pStyle w:val="paragraph"/>
        <w:rPr/>
      </w:pPr>
      <w:r>
        <w:rPr/>
        <w:tab/>
        <w:t>(c)</w:t>
        <w:tab/>
        <w:t>adding a medical doctor’s office to the definition of “facility” in section 1;</w:t>
      </w:r>
    </w:p>
    <w:p>
      <w:pPr>
        <w:pStyle w:val="paragraph"/>
        <w:rPr/>
      </w:pPr>
      <w:r>
        <w:rPr/>
        <w:tab/>
        <w:t>(d)</w:t>
        <w:tab/>
        <w:t>exempting facilities or classes of facilities and persons or classes of persons from any provision of this Act or of a regulation made under this Act and prescribing circumstances and conditions for any such exemption;</w:t>
      </w:r>
    </w:p>
    <w:p>
      <w:pPr>
        <w:pStyle w:val="paragraph"/>
        <w:rPr/>
      </w:pPr>
      <w:r>
        <w:rPr/>
        <w:tab/>
        <w:t>(e)</w:t>
        <w:tab/>
        <w:t xml:space="preserve">governing the requirements in section 2 respecting the manner and timing for the disclosure under that section, including prescribing the persons responsible for making the disclosure on behalf of the facility, and prescribing additional requirements;  </w:t>
      </w:r>
    </w:p>
    <w:p>
      <w:pPr>
        <w:pStyle w:val="paragraph"/>
        <w:rPr/>
      </w:pPr>
      <w:r>
        <w:rPr/>
        <w:tab/>
        <w:t>(f)</w:t>
        <w:tab/>
        <w:t>defining, for the purposes of this Act, any word or expression used in this Act that has not already been expressly defined in this Act;</w:t>
      </w:r>
    </w:p>
    <w:p>
      <w:pPr>
        <w:pStyle w:val="paragraph"/>
        <w:rPr/>
      </w:pPr>
      <w:r>
        <w:rPr/>
        <w:tab/>
        <w:t>(g)</w:t>
        <w:tab/>
        <w:t>respecting any matter that the Lieutenant Governor in Council considers necessary or advisable to carry out effectively the purposes of this Act.  2005, c. 9, s. 5.</w:t>
      </w:r>
    </w:p>
    <w:p>
      <w:pPr>
        <w:pStyle w:val="section"/>
        <w:rPr/>
      </w:pPr>
      <w:r>
        <w:rPr>
          <w:rStyle w:val="ovbold"/>
        </w:rPr>
        <w:t>6</w:t>
      </w:r>
      <w:r>
        <w:rPr>
          <w:b/>
          <w:bCs/>
        </w:rPr>
        <w:t xml:space="preserve"> </w:t>
      </w:r>
      <w:r>
        <w:rPr>
          <w:rStyle w:val="ovsmallcap"/>
        </w:rPr>
        <w:t>Omitted (provides for coming into force of provisions of this Act).</w:t>
      </w:r>
      <w:r>
        <w:rPr/>
        <w:t xml:space="preserve">  2005, c. 9, s. 6.</w:t>
      </w:r>
    </w:p>
    <w:p>
      <w:pPr>
        <w:pStyle w:val="section"/>
        <w:rPr/>
      </w:pPr>
      <w:r>
        <w:rPr>
          <w:rStyle w:val="ovbold"/>
        </w:rPr>
        <w:t>7</w:t>
      </w:r>
      <w:r>
        <w:rPr>
          <w:b/>
          <w:bCs/>
        </w:rPr>
        <w:t xml:space="preserve"> </w:t>
      </w:r>
      <w:r>
        <w:rPr>
          <w:rStyle w:val="ovsmallcap"/>
        </w:rPr>
        <w:t>Omitted (enacts short title of this Act).</w:t>
      </w:r>
      <w:r>
        <w:rPr/>
        <w:t xml:space="preserve">  2005, c. 9, s. 7.</w:t>
      </w:r>
    </w:p>
    <w:p>
      <w:pPr>
        <w:pStyle w:val="line"/>
        <w:rPr/>
      </w:pPr>
      <w:r>
        <w:rPr/>
        <w:t xml:space="preserve">______________ </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m09" TargetMode="External"/><Relationship Id="rId3" Type="http://schemas.openxmlformats.org/officeDocument/2006/relationships/hyperlink" Target="https://www.ontario.ca/laws/statute/s05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m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2005-06-15T09:53:00Z</dcterms:created>
  <dc:creator/>
  <dc:description/>
  <cp:keywords/>
  <dc:language>en-CA</dc:language>
  <cp:lastModifiedBy/>
  <cp:lastPrinted>2005-06-28T14:53:00Z</cp:lastPrinted>
  <dcterms:modified xsi:type="dcterms:W3CDTF">2024-04-22T08:35:00Z</dcterms:modified>
  <cp:revision>74</cp:revision>
  <dc:subject/>
  <dc:title>Mandatory Gunshot Wounds Reporting Act, 2005, S.O. 2005, c. 9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