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Back to Class Act (York University), 2018</w:t>
      </w:r>
    </w:p>
    <w:p>
      <w:pPr>
        <w:pStyle w:val="chapter"/>
        <w:rPr/>
      </w:pPr>
      <w:hyperlink r:id="rId3">
        <w:r>
          <w:rPr>
            <w:rStyle w:val="Hyperlink"/>
          </w:rPr>
          <w:t xml:space="preserve">S.o. </w:t>
        </w:r>
        <w:r>
          <w:rPr>
            <w:rStyle w:val="Hyperlink"/>
            <w:smallCaps/>
          </w:rPr>
          <w:t>2018</w:t>
        </w:r>
        <w:r>
          <w:rPr>
            <w:rStyle w:val="Hyperlink"/>
          </w:rPr>
          <w:t xml:space="preserve">, chapter </w:t>
        </w:r>
        <w:r>
          <w:rPr>
            <w:rStyle w:val="Hyperlink"/>
            <w:smallCaps/>
          </w:rPr>
          <w:t>10</w:t>
          <w:br/>
          <w:t>Schedule 3</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July 25, 2018</w:t>
      </w:r>
      <w:r>
        <w:rPr/>
        <w:t xml:space="preserve"> to the </w:t>
      </w:r>
      <w:hyperlink r:id="rId4">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2018, c. 10, Sched. 3, s. 22)</w:t>
      </w:r>
    </w:p>
    <w:p>
      <w:pPr>
        <w:pStyle w:val="comment"/>
        <w:rPr/>
      </w:pPr>
      <w:r>
        <w:rPr/>
        <w:t>No amendments.</w:t>
      </w:r>
    </w:p>
    <w:p>
      <w:pPr>
        <w:pStyle w:val="headnote"/>
        <w:rPr/>
      </w:pPr>
      <w:r>
        <w:rPr/>
        <w:t>Preamble</w:t>
      </w:r>
    </w:p>
    <w:p>
      <w:pPr>
        <w:pStyle w:val="preamble"/>
        <w:rPr/>
      </w:pPr>
      <w:bookmarkStart w:id="1" w:name="BK40"/>
      <w:bookmarkEnd w:id="1"/>
      <w:r>
        <w:rPr/>
        <w:t>York University and the Canadian Union of Public Employees, Local 3903 were parties to collective agreements that have expired.</w:t>
      </w:r>
    </w:p>
    <w:p>
      <w:pPr>
        <w:pStyle w:val="preamble"/>
        <w:rPr/>
      </w:pPr>
      <w:r>
        <w:rPr/>
        <w:t>The parties have engaged in collective bargaining for approximately nine months for new collective agreements, including conciliation and mediation with the assistance of Ministry of Labour staff, but have failed to resolve their disputes.  A vote of the members of three bargaining units represented by the Union in respect of the University’s last offer was conducted.  That offer was rejected by all of the bargaining units.</w:t>
      </w:r>
    </w:p>
    <w:p>
      <w:pPr>
        <w:pStyle w:val="preamble"/>
        <w:rPr>
          <w:b/>
        </w:rPr>
      </w:pPr>
      <w:r>
        <w:rPr/>
        <w:t>Approximately six weeks after the strike began, the Minister of Labour took the extraordinary step of appointing an Industrial Inquiry Commission to inquire into the dispute to help facilitate a resolution and to provide a report.</w:t>
      </w:r>
    </w:p>
    <w:p>
      <w:pPr>
        <w:pStyle w:val="preamble"/>
        <w:rPr/>
      </w:pPr>
      <w:r>
        <w:rPr/>
        <w:t>Subsequently, one of the bargaining units was able to reach an agreement with the University.  However, negotiations in respect of the other two bargaining units remain at an impasse and the parties are clearly deadlocked.</w:t>
      </w:r>
    </w:p>
    <w:p>
      <w:pPr>
        <w:pStyle w:val="preamble"/>
        <w:rPr/>
      </w:pPr>
      <w:r>
        <w:rPr/>
        <w:t>The strike has been ongoing for more than 100 days. It is the longest post-secondary strike in Canadian history.  The impacts of the labour disruption on students are significant and numerous.  Approximately 37,100 students are enrolled in at least one course that is unable to progress while the strike continues.  Approximately 45,000 students are missing grades that would be available but for the ongoing strike.</w:t>
      </w:r>
    </w:p>
    <w:p>
      <w:pPr>
        <w:pStyle w:val="preamble"/>
        <w:rPr/>
      </w:pPr>
      <w:r>
        <w:rPr/>
        <w:t>Alternate course completion options are not available or feasible for many of these students and full access to their courses is necessary for successful completion of their academic year.  Students in programs subject to external regulatory, accreditation or licensing standards, such as Engineering, Law, Nursing and Teaching, are particularly at risk.  Students in programs subject to accreditation may not have any alternate course completion options available to them.  This jeopardizes the completion of the academic year for students in those programs and may also jeopardize their eligibility to write licensure exams.  The acceptances to higher degree or professional school for students who are able to graduate based on alternate degree completion options offered by the University may be at risk due to unfulfilled requirements.  In addition, the strike has required the University to greatly reduce its summer course offerings, impeding students’ ability to obtain critical academic prerequisites for advanced areas of study and completion of their final degree requirements.</w:t>
      </w:r>
    </w:p>
    <w:p>
      <w:pPr>
        <w:pStyle w:val="preamble"/>
        <w:rPr>
          <w:b/>
          <w:lang w:val="en-US"/>
        </w:rPr>
      </w:pPr>
      <w:r>
        <w:rPr/>
        <w:t>Post-secondary education serves a critical public function.  A lengthy extension or loss of an academic year has significant personal, educational, social and financial implications for students and their families as well as serious organizational and economic impacts on employers, the University and the broader public.  These negative consequences may be long term in nature and the repercussions could extend beyond the parties, the students and their families.  The continuation of these disputes and the resulting disruption in education and its corresponding effects give rise to serious public interest concerns.  The interests of students, families and the broader community require that these disputes be resolved.</w:t>
      </w:r>
    </w:p>
    <w:p>
      <w:pPr>
        <w:pStyle w:val="preamble"/>
        <w:rPr/>
      </w:pPr>
      <w:r>
        <w:rPr/>
        <w:t>Having regard to these serious circumstances, the considerable, though unfortunately unsuccessful, efforts that have been made to help the parties reach agreement and the clear deadlock in negotiations, the public interest requires an exceptional and temporary solution to address the matters in dispute so that new collective agreements may be concluded through a fair process of dispute resolution, affected staff and students can return to class and the normal post-secondary operation of the University can resume.</w:t>
      </w:r>
    </w:p>
    <w:p>
      <w:pPr>
        <w:pStyle w:val="preamble"/>
        <w:rPr/>
      </w:pPr>
      <w:r>
        <w:rPr/>
        <w:t>Therefore, Her Majesty, by and with the advice and consent of the Legislative Assembly of the Province of Ontario, enacts as follows:</w:t>
      </w:r>
    </w:p>
    <w:p>
      <w:pPr>
        <w:pStyle w:val="heading11"/>
        <w:keepNext w:val="false"/>
        <w:rPr/>
      </w:pPr>
      <w:r>
        <w:rPr/>
        <w:t>Interpretation and Application</w:t>
      </w:r>
    </w:p>
    <w:p>
      <w:pPr>
        <w:pStyle w:val="headnote"/>
        <w:rPr/>
      </w:pPr>
      <w:r>
        <w:rPr/>
        <w:t>Definitions</w:t>
      </w:r>
    </w:p>
    <w:p>
      <w:pPr>
        <w:pStyle w:val="section"/>
        <w:rPr/>
      </w:pPr>
      <w:bookmarkStart w:id="2" w:name="BK41"/>
      <w:bookmarkEnd w:id="2"/>
      <w:r>
        <w:rPr>
          <w:b/>
          <w:bCs/>
        </w:rPr>
        <w:t xml:space="preserve">1 </w:t>
      </w:r>
      <w:r>
        <w:rPr/>
        <w:t>(1)  In this Act,</w:t>
      </w:r>
    </w:p>
    <w:p>
      <w:pPr>
        <w:pStyle w:val="definition"/>
        <w:rPr/>
      </w:pPr>
      <w:r>
        <w:rPr/>
        <w:t>“</w:t>
      </w:r>
      <w:r>
        <w:rPr/>
        <w:t>bargaining agent” means the Canadian Union of Public Employees, Local 3903; (“agent négociateur”)</w:t>
      </w:r>
    </w:p>
    <w:p>
      <w:pPr>
        <w:pStyle w:val="definition"/>
        <w:rPr/>
      </w:pPr>
      <w:r>
        <w:rPr/>
        <w:t>“</w:t>
      </w:r>
      <w:r>
        <w:rPr/>
        <w:t>employees” means the employees of the employer who are represented by the bargaining agent; (“employés”)</w:t>
      </w:r>
    </w:p>
    <w:p>
      <w:pPr>
        <w:pStyle w:val="definition"/>
        <w:rPr/>
      </w:pPr>
      <w:r>
        <w:rPr/>
        <w:t>“</w:t>
      </w:r>
      <w:r>
        <w:rPr/>
        <w:t>employer” means York University; (“employeur”)</w:t>
      </w:r>
    </w:p>
    <w:p>
      <w:pPr>
        <w:pStyle w:val="definition"/>
        <w:rPr/>
      </w:pPr>
      <w:r>
        <w:rPr/>
        <w:t>“</w:t>
      </w:r>
      <w:r>
        <w:rPr/>
        <w:t>listed bargaining unit” means either of the following:</w:t>
      </w:r>
    </w:p>
    <w:p>
      <w:pPr>
        <w:pStyle w:val="paragraph"/>
        <w:rPr/>
      </w:pPr>
      <w:r>
        <w:rPr/>
        <w:tab/>
        <w:t>1.</w:t>
        <w:tab/>
        <w:t>The bargaining unit referred to as Unit 1 in the collective agreement between the employer and the bargaining agent effective from March 31, 2015 to August 31, 2017 as described in Article 3 of that agreement which unit is composed of all part-time employees registered at York University as full-time graduate students and employed in teaching, demonstrating, tutoring or marking.</w:t>
      </w:r>
    </w:p>
    <w:p>
      <w:pPr>
        <w:pStyle w:val="paragraph"/>
        <w:rPr/>
      </w:pPr>
      <w:r>
        <w:rPr/>
        <w:tab/>
        <w:t>2.</w:t>
        <w:tab/>
        <w:t>The bargaining unit referred to as Unit 3 in the collective agreement between the employer and the bargaining agent effective from March 31, 2015 to August 31, 2017 as described in Article 3 of that agreement which unit is composed of all graduate students registered as full-time at York University who are receiving financial assistance from or through the University and in connection with such assistance are employed in administrative, clerical and research work, save and except research assistants, supervisors, persons above the rank of supervisor, and persons for whom a trade union held bargaining rights at the date of application; (“unité de négociation désignée”)</w:t>
      </w:r>
    </w:p>
    <w:p>
      <w:pPr>
        <w:pStyle w:val="definition"/>
        <w:rPr/>
      </w:pPr>
      <w:r>
        <w:rPr/>
        <w:t>“</w:t>
      </w:r>
      <w:r>
        <w:rPr/>
        <w:t>Minister” means the Minister of Labour; (“ministre”)</w:t>
      </w:r>
    </w:p>
    <w:p>
      <w:pPr>
        <w:pStyle w:val="definition"/>
        <w:rPr/>
      </w:pPr>
      <w:r>
        <w:rPr/>
        <w:t>“</w:t>
      </w:r>
      <w:r>
        <w:rPr/>
        <w:t>new collective agreement”, when used with respect to a listed bargaining unit, means a collective agreement that,</w:t>
      </w:r>
    </w:p>
    <w:p>
      <w:pPr>
        <w:pStyle w:val="paragraph"/>
        <w:rPr/>
      </w:pPr>
      <w:r>
        <w:rPr/>
        <w:tab/>
        <w:t>(a)</w:t>
        <w:tab/>
        <w:t>applies to the employees in that unit, and</w:t>
      </w:r>
    </w:p>
    <w:p>
      <w:pPr>
        <w:pStyle w:val="paragraph"/>
        <w:rPr/>
      </w:pPr>
      <w:r>
        <w:rPr/>
        <w:tab/>
        <w:t>(b)</w:t>
        <w:tab/>
        <w:t>is executed after the day this Act receives Royal Assent or comes into force under subsection 21 (5); (“nouvelle convention collective”)</w:t>
      </w:r>
    </w:p>
    <w:p>
      <w:pPr>
        <w:pStyle w:val="definition"/>
        <w:rPr/>
      </w:pPr>
      <w:r>
        <w:rPr/>
        <w:t>“</w:t>
      </w:r>
      <w:r>
        <w:rPr/>
        <w:t>parties”, when used in relation to a dispute, a dispute resolution proceeding dealing with the dispute or a new collective agreement, means the employer and the bargaining agent. (“parties”)</w:t>
      </w:r>
    </w:p>
    <w:p>
      <w:pPr>
        <w:pStyle w:val="headnote"/>
        <w:rPr/>
      </w:pPr>
      <w:r>
        <w:rPr/>
        <w:t>Unit 3</w:t>
      </w:r>
    </w:p>
    <w:p>
      <w:pPr>
        <w:pStyle w:val="subsection"/>
        <w:rPr/>
      </w:pPr>
      <w:r>
        <w:rPr/>
        <w:t>(2)  For the bargaining unit referred to as Unit 3 and described in paragraph 2 of the definition of “listed bargaining unit” in subsection (1),</w:t>
      </w:r>
    </w:p>
    <w:p>
      <w:pPr>
        <w:pStyle w:val="paragraph"/>
        <w:rPr/>
      </w:pPr>
      <w:r>
        <w:rPr/>
        <w:tab/>
        <w:t>(a)</w:t>
        <w:tab/>
        <w:t>for greater certainty, and as set out in the collective agreement between the employer and the bargaining agent effective from March 31, 2015 to August 31, 2017, graduate students registered as full-time at York University who receive financial assistance from or through York University for research or academic activities which are predominantly for the purposes of advancing the students’ progress towards fulfilment of their program and degree requirements are not in that bargaining unit; and</w:t>
      </w:r>
    </w:p>
    <w:p>
      <w:pPr>
        <w:pStyle w:val="paragraph"/>
        <w:rPr/>
      </w:pPr>
      <w:r>
        <w:rPr/>
        <w:tab/>
        <w:t>(b)</w:t>
        <w:tab/>
        <w:t>the reference to “date of application” in paragraph 2 of the definition of “listed bargaining unit” in subsection (1) has the same meaning as in Article 3 of the collective agreement between the employer and the bargaining agent effective from March 31, 2015 to August 31, 2017 in respect of that unit.</w:t>
      </w:r>
    </w:p>
    <w:p>
      <w:pPr>
        <w:pStyle w:val="headnote"/>
        <w:rPr/>
      </w:pPr>
      <w:r>
        <w:rPr/>
        <w:t>Interpretation</w:t>
      </w:r>
    </w:p>
    <w:p>
      <w:pPr>
        <w:pStyle w:val="subsection"/>
        <w:rPr/>
      </w:pPr>
      <w:r>
        <w:rPr/>
        <w:t xml:space="preserve">(3)  Expressions used in this Act have the same meaning as in the </w:t>
      </w:r>
      <w:r>
        <w:rPr>
          <w:rStyle w:val="ovitalic"/>
        </w:rPr>
        <w:t>Labour Relations Act, 1995</w:t>
      </w:r>
      <w:r>
        <w:rPr/>
        <w:t>, unless the context requires otherwise.</w:t>
      </w:r>
    </w:p>
    <w:p>
      <w:pPr>
        <w:pStyle w:val="headnote"/>
        <w:rPr/>
      </w:pPr>
      <w:r>
        <w:rPr/>
        <w:t>Application of Act</w:t>
      </w:r>
    </w:p>
    <w:p>
      <w:pPr>
        <w:pStyle w:val="section"/>
        <w:rPr/>
      </w:pPr>
      <w:bookmarkStart w:id="3" w:name="BK42"/>
      <w:bookmarkEnd w:id="3"/>
      <w:r>
        <w:rPr>
          <w:b/>
          <w:bCs/>
        </w:rPr>
        <w:t xml:space="preserve">2 </w:t>
      </w:r>
      <w:r>
        <w:rPr/>
        <w:t>(1)  This Act applies to the employer, the bargaining agent and the employees in a listed bargaining unit if the employer and the bargaining agent have not executed a collective agreement after August 31, 2017 and before the day this Act receives Royal Assent with respect to that unit.</w:t>
      </w:r>
    </w:p>
    <w:p>
      <w:pPr>
        <w:pStyle w:val="headnote"/>
        <w:rPr/>
      </w:pPr>
      <w:r>
        <w:rPr/>
        <w:t xml:space="preserve">Application of </w:t>
      </w:r>
      <w:r>
        <w:rPr>
          <w:rStyle w:val="ovitalic"/>
        </w:rPr>
        <w:t>Labour Relations Act, 1995</w:t>
      </w:r>
    </w:p>
    <w:p>
      <w:pPr>
        <w:pStyle w:val="subsection"/>
        <w:rPr/>
      </w:pPr>
      <w:r>
        <w:rPr/>
        <w:t xml:space="preserve">(2)  Except as modified by this Act, the </w:t>
      </w:r>
      <w:r>
        <w:rPr>
          <w:rStyle w:val="ovitalic"/>
        </w:rPr>
        <w:t>Labour Relations Act, 1995</w:t>
      </w:r>
      <w:r>
        <w:rPr/>
        <w:t xml:space="preserve"> applies to the employer, the bargaining agent and the employees.</w:t>
      </w:r>
    </w:p>
    <w:p>
      <w:pPr>
        <w:pStyle w:val="headnote"/>
        <w:rPr/>
      </w:pPr>
      <w:r>
        <w:rPr/>
        <w:t>Conflict</w:t>
      </w:r>
    </w:p>
    <w:p>
      <w:pPr>
        <w:pStyle w:val="subsection"/>
        <w:rPr/>
      </w:pPr>
      <w:r>
        <w:rPr/>
        <w:t xml:space="preserve">(3)  In the event of a conflict between this Act and the </w:t>
      </w:r>
      <w:r>
        <w:rPr>
          <w:rStyle w:val="ovitalic"/>
        </w:rPr>
        <w:t>Labour Relations Act, 1995</w:t>
      </w:r>
      <w:r>
        <w:rPr/>
        <w:t>, this Act prevails.</w:t>
      </w:r>
    </w:p>
    <w:p>
      <w:pPr>
        <w:pStyle w:val="heading11"/>
        <w:rPr/>
      </w:pPr>
      <w:r>
        <w:rPr/>
        <w:t>Strikes and Lock-outs</w:t>
      </w:r>
    </w:p>
    <w:p>
      <w:pPr>
        <w:pStyle w:val="headnote"/>
        <w:rPr/>
      </w:pPr>
      <w:r>
        <w:rPr/>
        <w:t>Duties of employer and bargaining agent</w:t>
      </w:r>
    </w:p>
    <w:p>
      <w:pPr>
        <w:pStyle w:val="headnote"/>
        <w:rPr/>
      </w:pPr>
      <w:r>
        <w:rPr/>
        <w:t>Operation of undertakings</w:t>
      </w:r>
    </w:p>
    <w:p>
      <w:pPr>
        <w:pStyle w:val="section"/>
        <w:rPr/>
      </w:pPr>
      <w:bookmarkStart w:id="4" w:name="BK43"/>
      <w:bookmarkEnd w:id="4"/>
      <w:r>
        <w:rPr>
          <w:b/>
          <w:bCs/>
        </w:rPr>
        <w:t xml:space="preserve">3 </w:t>
      </w:r>
      <w:r>
        <w:rPr/>
        <w:t>(1)  As soon as this Act receives Royal Assent, the employer shall use all reasonable efforts to operate and continue to operate its undertakings, including any operations interrupted during any lock-out or strike that is in effect immediately before this Act receives Royal Assent.</w:t>
      </w:r>
    </w:p>
    <w:p>
      <w:pPr>
        <w:pStyle w:val="headnote"/>
        <w:rPr/>
      </w:pPr>
      <w:r>
        <w:rPr/>
        <w:t>Termination of lock-out</w:t>
      </w:r>
    </w:p>
    <w:p>
      <w:pPr>
        <w:pStyle w:val="subsection"/>
        <w:rPr/>
      </w:pPr>
      <w:r>
        <w:rPr/>
        <w:t>(2)  As soon as this Act receives Royal Assent, the employer shall terminate any lock-out of employees that is in effect immediately before this Act receives Royal Assent.</w:t>
      </w:r>
    </w:p>
    <w:p>
      <w:pPr>
        <w:pStyle w:val="headnote"/>
        <w:rPr/>
      </w:pPr>
      <w:r>
        <w:rPr/>
        <w:t>Termination of strike</w:t>
      </w:r>
    </w:p>
    <w:p>
      <w:pPr>
        <w:pStyle w:val="subsection"/>
        <w:rPr/>
      </w:pPr>
      <w:r>
        <w:rPr/>
        <w:t>(3)  As soon as this Act receives Royal Assent, the bargaining agent shall terminate any strike by employees that is in effect immediately before this Act receives Royal Assent.</w:t>
      </w:r>
    </w:p>
    <w:p>
      <w:pPr>
        <w:pStyle w:val="headnote"/>
        <w:rPr/>
      </w:pPr>
      <w:r>
        <w:rPr/>
        <w:t>Same</w:t>
      </w:r>
    </w:p>
    <w:p>
      <w:pPr>
        <w:pStyle w:val="subsection"/>
        <w:rPr/>
      </w:pPr>
      <w:r>
        <w:rPr/>
        <w:t>(4)  As soon as this Act receives Royal Assent, each employee shall terminate any strike that is in effect before this Act receives Royal Assent and shall, without delay, resume the performance of the duties of his or her employment or shall continue performing them, as the case may be.</w:t>
      </w:r>
    </w:p>
    <w:p>
      <w:pPr>
        <w:pStyle w:val="headnote"/>
        <w:rPr/>
      </w:pPr>
      <w:r>
        <w:rPr/>
        <w:t>Exception</w:t>
      </w:r>
    </w:p>
    <w:p>
      <w:pPr>
        <w:pStyle w:val="subsection"/>
        <w:rPr/>
      </w:pPr>
      <w:r>
        <w:rPr/>
        <w:t>(5)  Subsection (4) does not preclude an employee from not reporting to work and performing his or her duties for reasons of health or by mutual consent of the employee and the employer.</w:t>
      </w:r>
    </w:p>
    <w:p>
      <w:pPr>
        <w:pStyle w:val="headnote"/>
        <w:rPr/>
      </w:pPr>
      <w:r>
        <w:rPr/>
        <w:t>Prohibition re strike</w:t>
      </w:r>
    </w:p>
    <w:p>
      <w:pPr>
        <w:pStyle w:val="section"/>
        <w:rPr/>
      </w:pPr>
      <w:bookmarkStart w:id="5" w:name="BK44"/>
      <w:bookmarkEnd w:id="5"/>
      <w:r>
        <w:rPr>
          <w:b/>
          <w:bCs/>
        </w:rPr>
        <w:t xml:space="preserve">4 </w:t>
      </w:r>
      <w:r>
        <w:rPr/>
        <w:t>(1)  Subject to section 6, no employee shall strike and no person or trade union shall call or authorize or threaten to call or authorize a strike by any employees.</w:t>
      </w:r>
    </w:p>
    <w:p>
      <w:pPr>
        <w:pStyle w:val="headnote"/>
        <w:rPr/>
      </w:pPr>
      <w:r>
        <w:rPr/>
        <w:t>Same</w:t>
      </w:r>
    </w:p>
    <w:p>
      <w:pPr>
        <w:pStyle w:val="subsection"/>
        <w:rPr/>
      </w:pPr>
      <w:r>
        <w:rPr/>
        <w:t>(2)  Subject to section 6, no officer, official or agent of a trade union shall counsel, procure, support or encourage a strike by any employees.</w:t>
      </w:r>
    </w:p>
    <w:p>
      <w:pPr>
        <w:pStyle w:val="headnote"/>
        <w:rPr/>
      </w:pPr>
      <w:r>
        <w:rPr/>
        <w:t>Prohibition re lock-out</w:t>
      </w:r>
    </w:p>
    <w:p>
      <w:pPr>
        <w:pStyle w:val="section"/>
        <w:rPr/>
      </w:pPr>
      <w:bookmarkStart w:id="6" w:name="BK45"/>
      <w:bookmarkEnd w:id="6"/>
      <w:r>
        <w:rPr>
          <w:b/>
          <w:bCs/>
        </w:rPr>
        <w:t xml:space="preserve">5 </w:t>
      </w:r>
      <w:r>
        <w:rPr/>
        <w:t>(1)  Subject to section 6, the employer shall not lock out or threaten to lock out any employees.</w:t>
      </w:r>
    </w:p>
    <w:p>
      <w:pPr>
        <w:pStyle w:val="headnote"/>
        <w:rPr/>
      </w:pPr>
      <w:r>
        <w:rPr/>
        <w:t>Same</w:t>
      </w:r>
    </w:p>
    <w:p>
      <w:pPr>
        <w:pStyle w:val="subsection"/>
        <w:rPr/>
      </w:pPr>
      <w:r>
        <w:rPr/>
        <w:t>(2)  Subject to section 6, no officer, official or agent of the employer shall counsel, procure, support or encourage a lock-out of any employees.</w:t>
      </w:r>
    </w:p>
    <w:p>
      <w:pPr>
        <w:pStyle w:val="headnote"/>
        <w:rPr/>
      </w:pPr>
      <w:r>
        <w:rPr/>
        <w:t>Strike or lock-out after new collective agreement</w:t>
      </w:r>
    </w:p>
    <w:p>
      <w:pPr>
        <w:pStyle w:val="section"/>
        <w:rPr/>
      </w:pPr>
      <w:bookmarkStart w:id="7" w:name="BK46"/>
      <w:bookmarkEnd w:id="7"/>
      <w:r>
        <w:rPr>
          <w:b/>
          <w:bCs/>
        </w:rPr>
        <w:t xml:space="preserve">6 </w:t>
      </w:r>
      <w:r>
        <w:rPr/>
        <w:t xml:space="preserve">After a new collective agreement with respect to a listed bargaining unit is executed by the parties or comes into force under subsection 21 (5), the </w:t>
      </w:r>
      <w:r>
        <w:rPr>
          <w:rStyle w:val="ovitalic"/>
        </w:rPr>
        <w:t>Labour Relations Act, 1995</w:t>
      </w:r>
      <w:r>
        <w:rPr/>
        <w:t xml:space="preserve"> governs the right of the employees in that unit to strike and the right of the employer to lock out those employees.</w:t>
      </w:r>
    </w:p>
    <w:p>
      <w:pPr>
        <w:pStyle w:val="headnote"/>
        <w:rPr/>
      </w:pPr>
      <w:r>
        <w:rPr/>
        <w:t>Offence</w:t>
      </w:r>
    </w:p>
    <w:p>
      <w:pPr>
        <w:pStyle w:val="section"/>
        <w:rPr/>
      </w:pPr>
      <w:bookmarkStart w:id="8" w:name="BK47"/>
      <w:bookmarkEnd w:id="8"/>
      <w:r>
        <w:rPr>
          <w:b/>
          <w:bCs/>
        </w:rPr>
        <w:t xml:space="preserve">7 </w:t>
      </w:r>
      <w:r>
        <w:rPr/>
        <w:t>(1)  A person, including the employer, or a trade union who contravenes or fails to comply with section 3, 4 or 5 is guilty of an offence and on conviction is liable,</w:t>
      </w:r>
    </w:p>
    <w:p>
      <w:pPr>
        <w:pStyle w:val="paragraph"/>
        <w:rPr/>
      </w:pPr>
      <w:r>
        <w:rPr/>
        <w:tab/>
        <w:t>(a)</w:t>
        <w:tab/>
        <w:t>in the case of an individual, to a fine of not more than $2,000; and</w:t>
      </w:r>
    </w:p>
    <w:p>
      <w:pPr>
        <w:pStyle w:val="paragraph"/>
        <w:rPr/>
      </w:pPr>
      <w:r>
        <w:rPr/>
        <w:tab/>
        <w:t>(b)</w:t>
        <w:tab/>
        <w:t>in any other case, to a fine of not more than $25,000.</w:t>
      </w:r>
    </w:p>
    <w:p>
      <w:pPr>
        <w:pStyle w:val="headnote"/>
        <w:rPr/>
      </w:pPr>
      <w:r>
        <w:rPr/>
        <w:t>Continuing offence</w:t>
      </w:r>
    </w:p>
    <w:p>
      <w:pPr>
        <w:pStyle w:val="subsection"/>
        <w:rPr/>
      </w:pPr>
      <w:r>
        <w:rPr/>
        <w:t>(2)  Each day of a contravention or failure to comply constitutes a separate offence.</w:t>
      </w:r>
    </w:p>
    <w:p>
      <w:pPr>
        <w:pStyle w:val="headnote"/>
        <w:rPr/>
      </w:pPr>
      <w:r>
        <w:rPr/>
        <w:t>Related matters</w:t>
      </w:r>
    </w:p>
    <w:p>
      <w:pPr>
        <w:pStyle w:val="subsection"/>
        <w:rPr/>
      </w:pPr>
      <w:r>
        <w:rPr/>
        <w:t xml:space="preserve">(3)  Subsection 104 (3) and sections 105, 106 and 107 of the </w:t>
      </w:r>
      <w:r>
        <w:rPr>
          <w:rStyle w:val="ovitalic"/>
        </w:rPr>
        <w:t>Labour Relations Act, 1995</w:t>
      </w:r>
      <w:r>
        <w:rPr/>
        <w:t xml:space="preserve"> apply with necessary modifications with respect to an offence under this Act.</w:t>
      </w:r>
    </w:p>
    <w:p>
      <w:pPr>
        <w:pStyle w:val="headnote"/>
        <w:rPr/>
      </w:pPr>
      <w:r>
        <w:rPr/>
        <w:t>Deeming provision: unlawful strike or lock-out</w:t>
      </w:r>
    </w:p>
    <w:p>
      <w:pPr>
        <w:pStyle w:val="section"/>
        <w:rPr/>
      </w:pPr>
      <w:bookmarkStart w:id="9" w:name="BK48"/>
      <w:bookmarkEnd w:id="9"/>
      <w:r>
        <w:rPr>
          <w:b/>
          <w:bCs/>
        </w:rPr>
        <w:t xml:space="preserve">8 </w:t>
      </w:r>
      <w:r>
        <w:rPr/>
        <w:t xml:space="preserve">A strike or lock-out in contravention of section 3, 4 or 5 is deemed to be an unlawful strike or lock-out for the purposes of the </w:t>
      </w:r>
      <w:r>
        <w:rPr>
          <w:rStyle w:val="ovitalic"/>
        </w:rPr>
        <w:t>Labour Relations Act, 1995</w:t>
      </w:r>
      <w:r>
        <w:rPr/>
        <w:t>.</w:t>
      </w:r>
    </w:p>
    <w:p>
      <w:pPr>
        <w:pStyle w:val="headnote"/>
        <w:rPr/>
      </w:pPr>
      <w:r>
        <w:rPr/>
        <w:t>Terms of employment</w:t>
      </w:r>
    </w:p>
    <w:p>
      <w:pPr>
        <w:pStyle w:val="section"/>
        <w:rPr/>
      </w:pPr>
      <w:bookmarkStart w:id="10" w:name="BK49"/>
      <w:bookmarkEnd w:id="10"/>
      <w:r>
        <w:rPr>
          <w:b/>
          <w:bCs/>
        </w:rPr>
        <w:t xml:space="preserve">9 </w:t>
      </w:r>
      <w:r>
        <w:rPr/>
        <w:t>Until a new collective agreement with respect to a listed bargaining unit is executed by the parties or comes into force under subsection 21 (5), the terms and conditions of employment that applied with respect to the employees in that unit on the day before the first day on which it became lawful for any of those employees to strike continue to apply, unless the parties agree otherwise.</w:t>
      </w:r>
    </w:p>
    <w:p>
      <w:pPr>
        <w:pStyle w:val="heading11"/>
        <w:rPr/>
      </w:pPr>
      <w:r>
        <w:rPr/>
        <w:t>Dispute Resolution</w:t>
      </w:r>
    </w:p>
    <w:p>
      <w:pPr>
        <w:pStyle w:val="headnote"/>
        <w:rPr/>
      </w:pPr>
      <w:r>
        <w:rPr/>
        <w:t>Deemed referral to mediator-arbitrator</w:t>
      </w:r>
    </w:p>
    <w:p>
      <w:pPr>
        <w:pStyle w:val="section"/>
        <w:rPr/>
      </w:pPr>
      <w:bookmarkStart w:id="11" w:name="BK50"/>
      <w:bookmarkEnd w:id="11"/>
      <w:r>
        <w:rPr>
          <w:b/>
          <w:bCs/>
        </w:rPr>
        <w:t xml:space="preserve">10 </w:t>
      </w:r>
      <w:r>
        <w:rPr/>
        <w:t>If this Act applies to the employer and the bargaining agent in respect of a listed bargaining unit, the parties are deemed to have referred to a mediator-arbitrator, on the day this Act receives Royal Assent, all matters remaining in dispute between them with respect to the terms and conditions of employment of the employees in that unit.</w:t>
      </w:r>
    </w:p>
    <w:p>
      <w:pPr>
        <w:pStyle w:val="headnote"/>
        <w:rPr/>
      </w:pPr>
      <w:r>
        <w:rPr/>
        <w:t>Appointment of mediator-arbitrator</w:t>
      </w:r>
    </w:p>
    <w:p>
      <w:pPr>
        <w:pStyle w:val="section"/>
        <w:rPr/>
      </w:pPr>
      <w:bookmarkStart w:id="12" w:name="BK51"/>
      <w:bookmarkEnd w:id="12"/>
      <w:r>
        <w:rPr>
          <w:b/>
          <w:bCs/>
        </w:rPr>
        <w:t xml:space="preserve">11 </w:t>
      </w:r>
      <w:r>
        <w:rPr/>
        <w:t>(1)  On or before the fifth day after this Act receives Royal Assent, the parties shall jointly appoint the mediator-arbitrator referred to in section 10 and shall forthwith notify the Minister of the name and address of the person appointed.</w:t>
      </w:r>
    </w:p>
    <w:p>
      <w:pPr>
        <w:pStyle w:val="headnote"/>
        <w:rPr/>
      </w:pPr>
      <w:r>
        <w:rPr/>
        <w:t>Same</w:t>
      </w:r>
    </w:p>
    <w:p>
      <w:pPr>
        <w:pStyle w:val="subsection"/>
        <w:rPr/>
      </w:pPr>
      <w:r>
        <w:rPr/>
        <w:t>(2)  If the parties fail to notify the Minister as subsection (1) requires, the Minister shall forthwith appoint the mediator-arbitrator and notify the parties of the name and address of the person appointed.</w:t>
      </w:r>
    </w:p>
    <w:p>
      <w:pPr>
        <w:pStyle w:val="headnote"/>
        <w:rPr/>
      </w:pPr>
      <w:r>
        <w:rPr/>
        <w:t>Replacement</w:t>
      </w:r>
    </w:p>
    <w:p>
      <w:pPr>
        <w:pStyle w:val="subsection"/>
        <w:rPr/>
      </w:pPr>
      <w:r>
        <w:rPr/>
        <w:t>(3)  If the parties notify the Minister that they agree that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w:t>
      </w:r>
    </w:p>
    <w:p>
      <w:pPr>
        <w:pStyle w:val="headnote"/>
        <w:rPr/>
      </w:pPr>
      <w:r>
        <w:rPr/>
        <w:t>Same</w:t>
      </w:r>
    </w:p>
    <w:p>
      <w:pPr>
        <w:pStyle w:val="subsection"/>
        <w:rPr/>
      </w:pPr>
      <w:r>
        <w:rPr/>
        <w:t>(4)  If the Minister notifies the parties that in the Minister’s opinion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w:t>
      </w:r>
    </w:p>
    <w:p>
      <w:pPr>
        <w:pStyle w:val="headnote"/>
        <w:rPr/>
      </w:pPr>
      <w:r>
        <w:rPr/>
        <w:t>Same</w:t>
      </w:r>
    </w:p>
    <w:p>
      <w:pPr>
        <w:pStyle w:val="subsection"/>
        <w:rPr/>
      </w:pPr>
      <w:r>
        <w:rPr/>
        <w:t>(5)  If the parties fail to notify the Minister as subsection (3) or (4) requires, the Minister shall forthwith appoint a new mediator-arbitrator and notify the parties of the name and address of the person appointed.</w:t>
      </w:r>
    </w:p>
    <w:p>
      <w:pPr>
        <w:pStyle w:val="headnote"/>
        <w:rPr/>
      </w:pPr>
      <w:r>
        <w:rPr/>
        <w:t>Same</w:t>
      </w:r>
    </w:p>
    <w:p>
      <w:pPr>
        <w:pStyle w:val="subsection"/>
        <w:rPr/>
      </w:pPr>
      <w:r>
        <w:rPr/>
        <w:t>(6)  The dispute resolution process shall begin anew on the appointment of a new mediator-arbitrator under subsection (3), (4) or (5).</w:t>
      </w:r>
    </w:p>
    <w:p>
      <w:pPr>
        <w:pStyle w:val="headnote"/>
        <w:rPr/>
      </w:pPr>
      <w:r>
        <w:rPr/>
        <w:t>Minister’s power</w:t>
      </w:r>
    </w:p>
    <w:p>
      <w:pPr>
        <w:pStyle w:val="subsection"/>
        <w:rPr/>
      </w:pPr>
      <w:r>
        <w:rPr/>
        <w:t>(7)  The Minister may appoint as a mediator-arbitrator a person who is, in the opinion of the Minister, qualified to act.</w:t>
      </w:r>
    </w:p>
    <w:p>
      <w:pPr>
        <w:pStyle w:val="headnote"/>
        <w:rPr/>
      </w:pPr>
      <w:r>
        <w:rPr/>
        <w:t>Delegation</w:t>
      </w:r>
    </w:p>
    <w:p>
      <w:pPr>
        <w:pStyle w:val="subsection"/>
        <w:rPr/>
      </w:pPr>
      <w:r>
        <w:rPr/>
        <w:t>(8)  The Minister may delegate in writing to any person the Minister’s power to make an appointment under this section.</w:t>
      </w:r>
    </w:p>
    <w:p>
      <w:pPr>
        <w:pStyle w:val="headnote"/>
        <w:rPr/>
      </w:pPr>
      <w:r>
        <w:rPr/>
        <w:t>Proof of appointment, etc.</w:t>
      </w:r>
    </w:p>
    <w:p>
      <w:pPr>
        <w:pStyle w:val="subsection"/>
        <w:rPr/>
      </w:pPr>
      <w:r>
        <w:rPr/>
        <w:t>(9)  An appointment made under this section that purports to be signed by or on behalf of the Minister shall be received in evidence in any proceeding as proof, in the absence of evidence to the contrary, of the facts stated in it without proof of the signature or the position of the person appearing to have signed it.</w:t>
      </w:r>
    </w:p>
    <w:p>
      <w:pPr>
        <w:pStyle w:val="headnote"/>
        <w:rPr/>
      </w:pPr>
      <w:r>
        <w:rPr/>
        <w:t>Selection of method of dispute resolution</w:t>
      </w:r>
    </w:p>
    <w:p>
      <w:pPr>
        <w:pStyle w:val="section"/>
        <w:rPr/>
      </w:pPr>
      <w:bookmarkStart w:id="13" w:name="BK52"/>
      <w:bookmarkEnd w:id="13"/>
      <w:r>
        <w:rPr>
          <w:b/>
        </w:rPr>
        <w:t xml:space="preserve">12 </w:t>
      </w:r>
      <w:r>
        <w:rPr/>
        <w:t>(1)  The mediator-arbitrator shall select the method of dispute resolution and shall notify the parties of the selection.</w:t>
      </w:r>
    </w:p>
    <w:p>
      <w:pPr>
        <w:pStyle w:val="headnote"/>
        <w:rPr/>
      </w:pPr>
      <w:r>
        <w:rPr/>
        <w:t>Same</w:t>
      </w:r>
    </w:p>
    <w:p>
      <w:pPr>
        <w:pStyle w:val="subsection"/>
        <w:rPr/>
      </w:pPr>
      <w:r>
        <w:rPr/>
        <w:t>(2)  The mediator-arbitrator shall consider all methods of dispute resolution, including mediation-arbitration and mediation-final offer selection, and in his or her sole discretion shall select the method that he or she believes is the most appropriate method having regard to the nature of the dispute.</w:t>
      </w:r>
    </w:p>
    <w:p>
      <w:pPr>
        <w:pStyle w:val="headnote"/>
        <w:rPr/>
      </w:pPr>
      <w:r>
        <w:rPr/>
        <w:t>Appointment and proceedings of mediator-arbitrator not subject to review</w:t>
      </w:r>
    </w:p>
    <w:p>
      <w:pPr>
        <w:pStyle w:val="section"/>
        <w:rPr/>
      </w:pPr>
      <w:bookmarkStart w:id="14" w:name="BK53"/>
      <w:bookmarkEnd w:id="14"/>
      <w:r>
        <w:rPr>
          <w:b/>
        </w:rPr>
        <w:t xml:space="preserve">13 </w:t>
      </w:r>
      <w:r>
        <w:rPr/>
        <w:t>It is conclusively presumed that the appointment of a mediator-arbitrator made under section 11 is properly made, and no application shall be made to question the appointment or to prohibit or restrain any of the mediator-arbitrator’s proceedings, including the selection of a method of dispute resolution made under section 12.</w:t>
      </w:r>
    </w:p>
    <w:p>
      <w:pPr>
        <w:pStyle w:val="headnote"/>
        <w:rPr/>
      </w:pPr>
      <w:r>
        <w:rPr/>
        <w:t>Jurisdiction of mediator-arbitrator</w:t>
      </w:r>
    </w:p>
    <w:p>
      <w:pPr>
        <w:pStyle w:val="section"/>
        <w:rPr/>
      </w:pPr>
      <w:bookmarkStart w:id="15" w:name="BK54"/>
      <w:bookmarkEnd w:id="15"/>
      <w:r>
        <w:rPr>
          <w:b/>
          <w:bCs/>
        </w:rPr>
        <w:t xml:space="preserve">14 </w:t>
      </w:r>
      <w:r>
        <w:rPr/>
        <w:t>(1)  The mediator-arbitrator has exclusive jurisdiction to determine all matters that he or she considers necessary to conclude a new collective agreement.</w:t>
      </w:r>
    </w:p>
    <w:p>
      <w:pPr>
        <w:pStyle w:val="headnote"/>
        <w:rPr/>
      </w:pPr>
      <w:r>
        <w:rPr/>
        <w:t>Time period</w:t>
      </w:r>
    </w:p>
    <w:p>
      <w:pPr>
        <w:pStyle w:val="subsection"/>
        <w:rPr/>
      </w:pPr>
      <w:r>
        <w:rPr/>
        <w:t>(2)  The mediator-arbitrator remains seized of and may deal with all matters within his or her jurisdiction until the new collective agreement is executed by the parties or comes into force under subsection 21 (5).</w:t>
      </w:r>
    </w:p>
    <w:p>
      <w:pPr>
        <w:pStyle w:val="headnote"/>
        <w:rPr/>
      </w:pPr>
      <w:r>
        <w:rPr/>
        <w:t>Mediation</w:t>
      </w:r>
    </w:p>
    <w:p>
      <w:pPr>
        <w:pStyle w:val="subsection"/>
        <w:rPr/>
      </w:pPr>
      <w:r>
        <w:rPr/>
        <w:t>(3)  The mediator-arbitrator may try to assist the parties to settle any matter that he or she considers necessary to conclude the new collective agreement.</w:t>
      </w:r>
    </w:p>
    <w:p>
      <w:pPr>
        <w:pStyle w:val="headnote"/>
        <w:rPr/>
      </w:pPr>
      <w:r>
        <w:rPr/>
        <w:t>Notice, matters agreed on</w:t>
      </w:r>
    </w:p>
    <w:p>
      <w:pPr>
        <w:pStyle w:val="subsection"/>
        <w:rPr/>
      </w:pPr>
      <w:r>
        <w:rPr/>
        <w:t>(4)  As soon as possible after a mediator-arbitrator is appointed, but in any event no later than seven days after the appointment, the parties shall give the mediator-arbitrator written notice of the matters on which they reached agreement before the appointment.</w:t>
      </w:r>
    </w:p>
    <w:p>
      <w:pPr>
        <w:pStyle w:val="headnote"/>
        <w:rPr/>
      </w:pPr>
      <w:r>
        <w:rPr/>
        <w:t>Same</w:t>
      </w:r>
    </w:p>
    <w:p>
      <w:pPr>
        <w:pStyle w:val="subsection"/>
        <w:rPr/>
      </w:pPr>
      <w:r>
        <w:rPr/>
        <w:t>(5)  The parties may at any time give the mediator-arbitrator written notice of matters on which they reach agreement after the appointment of a mediator-arbitrator.</w:t>
      </w:r>
    </w:p>
    <w:p>
      <w:pPr>
        <w:pStyle w:val="headnote"/>
        <w:rPr/>
      </w:pPr>
      <w:r>
        <w:rPr/>
        <w:t>Time limits</w:t>
      </w:r>
    </w:p>
    <w:p>
      <w:pPr>
        <w:pStyle w:val="section"/>
        <w:rPr/>
      </w:pPr>
      <w:bookmarkStart w:id="16" w:name="BK55"/>
      <w:bookmarkEnd w:id="16"/>
      <w:r>
        <w:rPr>
          <w:b/>
          <w:bCs/>
        </w:rPr>
        <w:t xml:space="preserve">15 </w:t>
      </w:r>
      <w:r>
        <w:rPr/>
        <w:t>(1)  The mediator-arbitrator shall begin the dispute resolution proceeding within 30 days after being appointed and shall make all awards under this Act within 90 days after being appointed, unless the proceeding is terminated under subsection 20 (2).</w:t>
      </w:r>
    </w:p>
    <w:p>
      <w:pPr>
        <w:pStyle w:val="headnote"/>
        <w:rPr/>
      </w:pPr>
      <w:r>
        <w:rPr/>
        <w:t>Extensions</w:t>
      </w:r>
    </w:p>
    <w:p>
      <w:pPr>
        <w:pStyle w:val="subsection"/>
        <w:rPr/>
      </w:pPr>
      <w:r>
        <w:rPr/>
        <w:t>(2)  The parties and the mediator-arbitrator may, by written agreement, extend a time period specified in subsection (1) either before or after it expires.</w:t>
      </w:r>
    </w:p>
    <w:p>
      <w:pPr>
        <w:pStyle w:val="headnote"/>
        <w:rPr/>
      </w:pPr>
      <w:r>
        <w:rPr/>
        <w:t>Procedure</w:t>
      </w:r>
    </w:p>
    <w:p>
      <w:pPr>
        <w:pStyle w:val="section"/>
        <w:rPr/>
      </w:pPr>
      <w:bookmarkStart w:id="17" w:name="BK56"/>
      <w:bookmarkEnd w:id="17"/>
      <w:r>
        <w:rPr>
          <w:b/>
          <w:bCs/>
        </w:rPr>
        <w:t xml:space="preserve">16 </w:t>
      </w:r>
      <w:r>
        <w:rPr/>
        <w:t>(1)  The mediator-arbitrator shall determine the procedure for the selected method of dispute resolution but shall permit the parties to present evidence and make submissions.</w:t>
      </w:r>
    </w:p>
    <w:p>
      <w:pPr>
        <w:pStyle w:val="headnote"/>
        <w:rPr/>
      </w:pPr>
      <w:r>
        <w:rPr/>
        <w:t>Consolidation</w:t>
      </w:r>
    </w:p>
    <w:p>
      <w:pPr>
        <w:pStyle w:val="subsection"/>
        <w:rPr/>
      </w:pPr>
      <w:r>
        <w:rPr/>
        <w:t>(2)  Without limiting the generality of subsection (1), a person who is the mediator-arbitrator for more than one dispute resolution proceeding under this Act may consolidate any of the proceedings or parts of the proceedings as he or she considers advisable.</w:t>
      </w:r>
    </w:p>
    <w:p>
      <w:pPr>
        <w:pStyle w:val="headnote"/>
        <w:rPr/>
      </w:pPr>
      <w:r>
        <w:rPr/>
        <w:t xml:space="preserve">Application of s. 48 (12) (a) to (i) of </w:t>
      </w:r>
      <w:r>
        <w:rPr>
          <w:rStyle w:val="ovitalic"/>
        </w:rPr>
        <w:t>Labour Relations Act, 1995</w:t>
      </w:r>
    </w:p>
    <w:p>
      <w:pPr>
        <w:pStyle w:val="subsection"/>
        <w:rPr/>
      </w:pPr>
      <w:r>
        <w:rPr/>
        <w:t xml:space="preserve">(3)  Clauses 48 (12) (a) to (i) of the </w:t>
      </w:r>
      <w:r>
        <w:rPr>
          <w:rStyle w:val="ovitalic"/>
        </w:rPr>
        <w:t>Labour Relations Act, 1995</w:t>
      </w:r>
      <w:r>
        <w:rPr/>
        <w:t xml:space="preserve"> apply, with necessary modifications, to proceedings before the mediator-arbitrator and to his or her decisions.</w:t>
      </w:r>
    </w:p>
    <w:p>
      <w:pPr>
        <w:pStyle w:val="headnote"/>
        <w:rPr/>
      </w:pPr>
      <w:r>
        <w:rPr/>
        <w:t>Exclusions</w:t>
      </w:r>
    </w:p>
    <w:p>
      <w:pPr>
        <w:pStyle w:val="subsection"/>
        <w:rPr/>
      </w:pPr>
      <w:r>
        <w:rPr/>
        <w:t xml:space="preserve">(4)  The </w:t>
      </w:r>
      <w:r>
        <w:rPr>
          <w:rStyle w:val="ovitalic"/>
        </w:rPr>
        <w:t>Arbitration Act, 1991</w:t>
      </w:r>
      <w:r>
        <w:rPr/>
        <w:t xml:space="preserve"> and the </w:t>
      </w:r>
      <w:r>
        <w:rPr>
          <w:rStyle w:val="ovitalic"/>
        </w:rPr>
        <w:t>Statutory Powers Procedure Act</w:t>
      </w:r>
      <w:r>
        <w:rPr/>
        <w:t xml:space="preserve"> do not apply to dispute resolution proceedings under this Act.</w:t>
      </w:r>
    </w:p>
    <w:p>
      <w:pPr>
        <w:pStyle w:val="headnote"/>
        <w:rPr/>
      </w:pPr>
      <w:r>
        <w:rPr/>
        <w:t>Award of mediator-arbitrator</w:t>
      </w:r>
    </w:p>
    <w:p>
      <w:pPr>
        <w:pStyle w:val="section"/>
        <w:rPr/>
      </w:pPr>
      <w:bookmarkStart w:id="18" w:name="BK57"/>
      <w:bookmarkEnd w:id="18"/>
      <w:r>
        <w:rPr>
          <w:b/>
          <w:bCs/>
        </w:rPr>
        <w:t xml:space="preserve">17 </w:t>
      </w:r>
      <w:r>
        <w:rPr/>
        <w:t>(1)  An award by the mediator-arbitrator under this Act shall address all the matters to be dealt with in the new collective agreement with respect to the parties and a listed bargaining unit.</w:t>
      </w:r>
    </w:p>
    <w:p>
      <w:pPr>
        <w:pStyle w:val="headnote"/>
        <w:rPr/>
      </w:pPr>
      <w:r>
        <w:rPr/>
        <w:t>Criteria</w:t>
      </w:r>
    </w:p>
    <w:p>
      <w:pPr>
        <w:pStyle w:val="subsection"/>
        <w:rPr/>
      </w:pPr>
      <w:r>
        <w:rPr/>
        <w:t>(2)  In making an award, the mediator-arbitrator shall take into consideration all factors that he or she considers relevant, including the following criteria:</w:t>
      </w:r>
    </w:p>
    <w:p>
      <w:pPr>
        <w:pStyle w:val="paragraph"/>
        <w:rPr/>
      </w:pPr>
      <w:r>
        <w:rPr/>
        <w:tab/>
        <w:t>1.</w:t>
        <w:tab/>
        <w:t>The employer’s ability to pay in light of its fiscal situation.</w:t>
      </w:r>
    </w:p>
    <w:p>
      <w:pPr>
        <w:pStyle w:val="paragraph"/>
        <w:rPr/>
      </w:pPr>
      <w:r>
        <w:rPr/>
        <w:tab/>
        <w:t>2.</w:t>
        <w:tab/>
        <w:t>The extent to which services may have to be reduced, in light of the award, if current funding and taxation levels are not increased.</w:t>
      </w:r>
    </w:p>
    <w:p>
      <w:pPr>
        <w:pStyle w:val="paragraph"/>
        <w:rPr/>
      </w:pPr>
      <w:r>
        <w:rPr/>
        <w:tab/>
        <w:t>3.</w:t>
        <w:tab/>
        <w:t>The economic situation in Ontario and in the Greater Toronto Area.</w:t>
      </w:r>
    </w:p>
    <w:p>
      <w:pPr>
        <w:pStyle w:val="paragraph"/>
        <w:rPr/>
      </w:pPr>
      <w:r>
        <w:rPr/>
        <w:tab/>
        <w:t>4.</w:t>
        <w:tab/>
        <w:t>A comparison, as between the employees and comparable employees in the public and private sectors, of the nature of the work performed and of the terms and conditions of employment.</w:t>
      </w:r>
    </w:p>
    <w:p>
      <w:pPr>
        <w:pStyle w:val="paragraph"/>
        <w:rPr/>
      </w:pPr>
      <w:r>
        <w:rPr/>
        <w:tab/>
        <w:t>5.</w:t>
        <w:tab/>
        <w:t>The employer’s ability to attract and retain qualified employees.</w:t>
      </w:r>
    </w:p>
    <w:p>
      <w:pPr>
        <w:pStyle w:val="paragraph"/>
        <w:rPr/>
      </w:pPr>
      <w:r>
        <w:rPr/>
        <w:tab/>
        <w:t>6.</w:t>
        <w:tab/>
        <w:t xml:space="preserve">The purposes of the </w:t>
      </w:r>
      <w:r>
        <w:rPr>
          <w:rStyle w:val="ovitalic"/>
        </w:rPr>
        <w:t>Public Sector Dispute Resolution Act, 1997</w:t>
      </w:r>
      <w:r>
        <w:rPr/>
        <w:t>.</w:t>
      </w:r>
    </w:p>
    <w:p>
      <w:pPr>
        <w:pStyle w:val="headnote"/>
        <w:rPr/>
      </w:pPr>
      <w:r>
        <w:rPr/>
        <w:t>Restriction - discipline and discharge</w:t>
      </w:r>
    </w:p>
    <w:p>
      <w:pPr>
        <w:pStyle w:val="subsection"/>
        <w:rPr/>
      </w:pPr>
      <w:r>
        <w:rPr/>
        <w:t>(3)  The mediator-arbitrator shall not include a provision in an award that prohibits the employer from discharging or disciplining an employee for just cause in respect of any activity that took place during the period that begins on the date on which a strike or lock-out in respect of the employee’s bargaining unit became lawful and ends on the date on which a new collective agreement is executed by the parties or comes into force under subsection 21 (5).</w:t>
      </w:r>
    </w:p>
    <w:p>
      <w:pPr>
        <w:pStyle w:val="headnote"/>
        <w:rPr/>
      </w:pPr>
      <w:r>
        <w:rPr/>
        <w:t>Same</w:t>
      </w:r>
    </w:p>
    <w:p>
      <w:pPr>
        <w:pStyle w:val="subsection"/>
        <w:rPr/>
      </w:pPr>
      <w:r>
        <w:rPr/>
        <w:t>(4)  Any dispute between the parties concerning discharge or discipline in respect of activities that took place during the period described in subsection (3) shall be determined through the grievance procedure and arbitration procedure established in the new collective agreement.</w:t>
      </w:r>
    </w:p>
    <w:p>
      <w:pPr>
        <w:pStyle w:val="headnote"/>
        <w:rPr/>
      </w:pPr>
      <w:r>
        <w:rPr/>
        <w:t>Retroactive alteration of terms of employment</w:t>
      </w:r>
    </w:p>
    <w:p>
      <w:pPr>
        <w:pStyle w:val="subsection"/>
        <w:rPr/>
      </w:pPr>
      <w:r>
        <w:rPr/>
        <w:t>(5)  The award may provide for the retroactive alteration of one or more terms and conditions of employment, to one or more dates after August 31, 2017, and may do so despite section 9.</w:t>
      </w:r>
    </w:p>
    <w:p>
      <w:pPr>
        <w:pStyle w:val="headnote"/>
        <w:rPr/>
      </w:pPr>
      <w:r>
        <w:rPr/>
        <w:t>Effect of award</w:t>
      </w:r>
    </w:p>
    <w:p>
      <w:pPr>
        <w:pStyle w:val="section"/>
        <w:rPr/>
      </w:pPr>
      <w:bookmarkStart w:id="19" w:name="BK58"/>
      <w:bookmarkEnd w:id="19"/>
      <w:r>
        <w:rPr>
          <w:b/>
          <w:bCs/>
        </w:rPr>
        <w:t xml:space="preserve">18 </w:t>
      </w:r>
      <w:r>
        <w:rPr/>
        <w:t>The award of a mediator-arbitrator under this Act is final and binding on the parties and on the employees.</w:t>
      </w:r>
    </w:p>
    <w:p>
      <w:pPr>
        <w:pStyle w:val="headnote"/>
        <w:rPr/>
      </w:pPr>
      <w:r>
        <w:rPr/>
        <w:t>Costs</w:t>
      </w:r>
    </w:p>
    <w:p>
      <w:pPr>
        <w:pStyle w:val="section"/>
        <w:rPr/>
      </w:pPr>
      <w:bookmarkStart w:id="20" w:name="BK59"/>
      <w:bookmarkEnd w:id="20"/>
      <w:r>
        <w:rPr>
          <w:b/>
          <w:bCs/>
        </w:rPr>
        <w:t xml:space="preserve">19 </w:t>
      </w:r>
      <w:r>
        <w:rPr/>
        <w:t>Each party shall pay one-half of the fees and expenses of the mediator-arbitrator.</w:t>
      </w:r>
    </w:p>
    <w:p>
      <w:pPr>
        <w:pStyle w:val="headnote"/>
        <w:rPr/>
      </w:pPr>
      <w:r>
        <w:rPr/>
        <w:t>Continued negotiation</w:t>
      </w:r>
    </w:p>
    <w:p>
      <w:pPr>
        <w:pStyle w:val="section"/>
        <w:rPr/>
      </w:pPr>
      <w:bookmarkStart w:id="21" w:name="BK60"/>
      <w:bookmarkEnd w:id="21"/>
      <w:r>
        <w:rPr>
          <w:b/>
          <w:bCs/>
        </w:rPr>
        <w:t xml:space="preserve">20 </w:t>
      </w:r>
      <w:r>
        <w:rPr/>
        <w:t>(1)  Until an award is made, nothing in sections 10 to 19 prohibits the parties from continuing to negotiate with a view to making a new collective agreement and they are encouraged to do so.</w:t>
      </w:r>
    </w:p>
    <w:p>
      <w:pPr>
        <w:pStyle w:val="headnote"/>
        <w:rPr/>
      </w:pPr>
      <w:r>
        <w:rPr/>
        <w:t>New collective agreement concluded by parties</w:t>
      </w:r>
    </w:p>
    <w:p>
      <w:pPr>
        <w:pStyle w:val="subsection"/>
        <w:rPr/>
      </w:pPr>
      <w:r>
        <w:rPr/>
        <w:t>(2)  If the parties execute a new collective agreement before an award is made, they shall notify the mediator-arbitrator of the fact and the mediation-arbitration proceeding is thereby terminated.</w:t>
      </w:r>
    </w:p>
    <w:p>
      <w:pPr>
        <w:pStyle w:val="heading11"/>
        <w:rPr/>
      </w:pPr>
      <w:r>
        <w:rPr/>
        <w:t>Execution of New Collective Agreement</w:t>
      </w:r>
    </w:p>
    <w:p>
      <w:pPr>
        <w:pStyle w:val="headnote"/>
        <w:rPr/>
      </w:pPr>
      <w:r>
        <w:rPr/>
        <w:t>Execution of new collective agreement</w:t>
      </w:r>
    </w:p>
    <w:p>
      <w:pPr>
        <w:pStyle w:val="section"/>
        <w:rPr/>
      </w:pPr>
      <w:bookmarkStart w:id="22" w:name="BK61"/>
      <w:bookmarkEnd w:id="22"/>
      <w:r>
        <w:rPr>
          <w:b/>
          <w:bCs/>
        </w:rPr>
        <w:t xml:space="preserve">21 </w:t>
      </w:r>
      <w:r>
        <w:rPr/>
        <w:t>(1)  Within seven days after the mediator-arbitrator makes an award, the parties shall prepare and execute documents giving effect to the award.</w:t>
      </w:r>
    </w:p>
    <w:p>
      <w:pPr>
        <w:pStyle w:val="headnote"/>
        <w:rPr/>
      </w:pPr>
      <w:r>
        <w:rPr/>
        <w:t>Same</w:t>
      </w:r>
    </w:p>
    <w:p>
      <w:pPr>
        <w:pStyle w:val="subsection"/>
        <w:rPr/>
      </w:pPr>
      <w:r>
        <w:rPr/>
        <w:t>(2)  The documents required by subsection (1) constitute the new collective agreement between the parties.</w:t>
      </w:r>
    </w:p>
    <w:p>
      <w:pPr>
        <w:pStyle w:val="headnote"/>
        <w:rPr/>
      </w:pPr>
      <w:r>
        <w:rPr/>
        <w:t>Extension</w:t>
      </w:r>
    </w:p>
    <w:p>
      <w:pPr>
        <w:pStyle w:val="subsection"/>
        <w:rPr/>
      </w:pPr>
      <w:r>
        <w:rPr/>
        <w:t>(3)  The mediator-arbitrator may extend the period referred to in subsection (1), but the extended period shall end no later than 30 days after the mediator-arbitrator made the award.</w:t>
      </w:r>
    </w:p>
    <w:p>
      <w:pPr>
        <w:pStyle w:val="headnote"/>
        <w:rPr/>
      </w:pPr>
      <w:r>
        <w:rPr/>
        <w:t>Preparation by mediator-arbitrator</w:t>
      </w:r>
    </w:p>
    <w:p>
      <w:pPr>
        <w:pStyle w:val="subsection"/>
        <w:rPr/>
      </w:pPr>
      <w:r>
        <w:rPr/>
        <w:t>(4)  If the parties do not prepare and execute the documents as required under subsections (1) and (3), the mediator-arbitrator shall prepare the necessary documents and give them to the parties for execution.</w:t>
      </w:r>
    </w:p>
    <w:p>
      <w:pPr>
        <w:pStyle w:val="headnote"/>
        <w:rPr/>
      </w:pPr>
      <w:r>
        <w:rPr/>
        <w:t>Failure to execute</w:t>
      </w:r>
    </w:p>
    <w:p>
      <w:pPr>
        <w:pStyle w:val="subsection"/>
        <w:rPr/>
      </w:pPr>
      <w:r>
        <w:rPr/>
        <w:t>(5)  If either party fails to execute the documents prepared by the mediator-arbitrator within seven days after receiving them, the documents come into force as though they had been executed by the parties and those documents constitute the new collective agreement between the parties.</w:t>
      </w:r>
    </w:p>
    <w:p>
      <w:pPr>
        <w:pStyle w:val="Psection"/>
        <w:rPr/>
      </w:pPr>
      <w:r>
        <w:rPr/>
        <w:t>22 This Act is repealed on a day to be named by proclamation of the Lieutenant Governor.</w:t>
      </w:r>
    </w:p>
    <w:p>
      <w:pPr>
        <w:pStyle w:val="section"/>
        <w:rPr/>
      </w:pPr>
      <w:r>
        <w:rPr>
          <w:rStyle w:val="ovbold"/>
        </w:rPr>
        <w:t xml:space="preserve">23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b10" TargetMode="External"/><Relationship Id="rId3" Type="http://schemas.openxmlformats.org/officeDocument/2006/relationships/hyperlink" Target="https://www.ontario.ca/laws/statute/s18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b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2018-07-26T10:06:00Z</dcterms:created>
  <dc:creator/>
  <dc:description/>
  <cp:keywords/>
  <dc:language>en-CA</dc:language>
  <cp:lastModifiedBy/>
  <cp:lastPrinted>2018-07-26T11:01:00Z</cp:lastPrinted>
  <dcterms:modified xsi:type="dcterms:W3CDTF">2018-07-26T13:21:00Z</dcterms:modified>
  <cp:revision>2</cp:revision>
  <dc:subject/>
  <dc:title>Back to Class Act (York University), 2018, S.O. 2018, c. 10,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20180725</vt:lpwstr>
  </property>
  <property fmtid="{D5CDD505-2E9C-101B-9397-08002B2CF9AE}" pid="3" name="To Date">
    <vt:lpwstr>Present</vt:lpwstr>
  </property>
</Properties>
</file>