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Community Safety and Correctional Services Act, 2018</w:t>
      </w:r>
    </w:p>
    <w:p>
      <w:pPr>
        <w:pStyle w:val="chapter"/>
        <w:rPr/>
      </w:pPr>
      <w:r>
        <w:fldChar w:fldCharType="begin"/>
      </w:r>
      <w:r>
        <w:rPr>
          <w:rStyle w:val="Hyperlink"/>
        </w:rPr>
        <w:instrText xml:space="preserve"> HYPERLINK "https://www.ontario.ca/laws/statute/S18006" \l "BK3"</w:instrText>
      </w:r>
      <w:r>
        <w:rPr>
          <w:rStyle w:val="Hyperlink"/>
        </w:rPr>
        <w:fldChar w:fldCharType="separate"/>
      </w:r>
      <w:r>
        <w:rPr>
          <w:rStyle w:val="Hyperlink"/>
        </w:rPr>
        <w:t xml:space="preserve">S.o. </w:t>
      </w:r>
      <w:r>
        <w:rPr>
          <w:rStyle w:val="Hyperlink"/>
        </w:rPr>
        <w:fldChar w:fldCharType="end"/>
      </w:r>
      <w:r>
        <w:rPr>
          <w:rStyle w:val="Hyperlink"/>
          <w:smallCaps/>
        </w:rPr>
        <w:t>2018</w:t>
      </w:r>
      <w:r>
        <w:rPr>
          <w:rStyle w:val="Hyperlink"/>
        </w:rPr>
        <w:t xml:space="preserve">, chapter </w:t>
      </w:r>
      <w:r>
        <w:rPr>
          <w:rStyle w:val="Hyperlink"/>
          <w:smallCaps/>
        </w:rPr>
        <w:t>6</w:t>
      </w:r>
      <w:r>
        <w:rPr>
          <w:smallCaps/>
        </w:rPr>
        <w:br/>
        <w:t>Schedule 1</w:t>
      </w:r>
    </w:p>
    <w:p>
      <w:pPr>
        <w:pStyle w:val="ConsolidationPeriod"/>
        <w:rPr>
          <w:b/>
          <w:bCs w:val="false"/>
        </w:rPr>
      </w:pPr>
      <w:r>
        <w:rPr>
          <w:b/>
          <w:bCs w:val="false"/>
        </w:rPr>
        <w:t xml:space="preserve">Consolidation Period: </w:t>
      </w:r>
      <w:r>
        <w:rPr>
          <w:bCs w:val="false"/>
        </w:rPr>
        <w:t xml:space="preserve">From May 29, 2019 to the </w:t>
      </w:r>
      <w:hyperlink r:id="rId3">
        <w:r>
          <w:rPr>
            <w:rStyle w:val="Hyperlink"/>
            <w:bCs w:val="false"/>
            <w:color w:val="0000FF"/>
            <w:u w:val="single" w:color="0000FF"/>
            <w:lang w:val="en-GB"/>
          </w:rPr>
          <w:t>e-Laws currency date</w:t>
        </w:r>
      </w:hyperlink>
      <w:r>
        <w:rPr>
          <w:bCs w:val="false"/>
        </w:rPr>
        <w:t>.</w:t>
      </w:r>
    </w:p>
    <w:p>
      <w:pPr>
        <w:pStyle w:val="Pnote"/>
        <w:rPr/>
      </w:pPr>
      <w:r>
        <w:rPr/>
        <w:t>Note: THIS ACT IS NOT YET IN FORCE. It comes into force on a day to be named by proclamation of the Lieutenant Governor.</w:t>
      </w:r>
    </w:p>
    <w:p>
      <w:pPr>
        <w:pStyle w:val="comment"/>
        <w:rPr/>
      </w:pPr>
      <w:r>
        <w:rPr/>
        <w:t xml:space="preserve">Last amendment: </w:t>
      </w:r>
      <w:r>
        <w:fldChar w:fldCharType="begin"/>
      </w:r>
      <w:r>
        <w:rPr>
          <w:rStyle w:val="Hyperlink"/>
        </w:rPr>
        <w:instrText xml:space="preserve"> HYPERLINK "http://www.ontario.ca/laws/statute/S19007" \l "sched17s106"</w:instrText>
      </w:r>
      <w:r>
        <w:rPr>
          <w:rStyle w:val="Hyperlink"/>
        </w:rPr>
        <w:fldChar w:fldCharType="separate"/>
      </w:r>
      <w:r>
        <w:rPr>
          <w:rStyle w:val="Hyperlink"/>
        </w:rPr>
        <w:t>2019, c. 7, Sched. 17, s. 106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"http://www.ontario.ca/laws/statute/S19007" \l "sched17s106"</w:instrText>
      </w:r>
      <w:r>
        <w:rPr>
          <w:rStyle w:val="Hyperlink"/>
        </w:rPr>
        <w:fldChar w:fldCharType="separate"/>
      </w:r>
      <w:r>
        <w:rPr>
          <w:rStyle w:val="Hyperlink"/>
        </w:rPr>
        <w:t>2019, c. 7, Sched. 17, s. 106</w:t>
      </w:r>
      <w:r>
        <w:rPr>
          <w:rStyle w:val="Hyperlink"/>
        </w:rPr>
        <w:fldChar w:fldCharType="end"/>
      </w:r>
      <w:r>
        <w:rPr/>
        <w:t>.</w:t>
      </w:r>
    </w:p>
    <w:p>
      <w:pPr>
        <w:pStyle w:val="Ytoc"/>
        <w:rPr/>
      </w:pPr>
      <w:r>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YTOCid"/>
              <w:shd w:fill="D9D9D9" w:val="clear"/>
              <w:spacing w:before="11" w:after="0"/>
              <w:rPr/>
            </w:pPr>
            <w:hyperlink w:anchor="BK0">
              <w:r>
                <w:rPr>
                  <w:rStyle w:val="Hyperlink"/>
                </w:rPr>
                <w:t>1.</w:t>
              </w:r>
            </w:hyperlink>
          </w:p>
        </w:tc>
        <w:tc>
          <w:tcPr>
            <w:tcW w:w="7782" w:type="dxa"/>
            <w:tcBorders/>
          </w:tcPr>
          <w:p>
            <w:pPr>
              <w:pStyle w:val="Ytable"/>
              <w:shd w:fill="D9D9D9" w:val="clear"/>
              <w:spacing w:before="11" w:after="0"/>
              <w:rPr/>
            </w:pPr>
            <w:r>
              <w:rPr/>
              <w:t>Definitions</w:t>
            </w:r>
          </w:p>
        </w:tc>
      </w:tr>
      <w:tr>
        <w:trPr/>
        <w:tc>
          <w:tcPr>
            <w:tcW w:w="2418" w:type="dxa"/>
            <w:tcBorders/>
          </w:tcPr>
          <w:p>
            <w:pPr>
              <w:pStyle w:val="YTOCid"/>
              <w:shd w:fill="D9D9D9" w:val="clear"/>
              <w:spacing w:before="11" w:after="0"/>
              <w:rPr/>
            </w:pPr>
            <w:hyperlink w:anchor="BK1">
              <w:r>
                <w:rPr>
                  <w:rStyle w:val="Hyperlink"/>
                </w:rPr>
                <w:t>2.</w:t>
              </w:r>
            </w:hyperlink>
          </w:p>
        </w:tc>
        <w:tc>
          <w:tcPr>
            <w:tcW w:w="7782" w:type="dxa"/>
            <w:tcBorders/>
          </w:tcPr>
          <w:p>
            <w:pPr>
              <w:pStyle w:val="Ytable"/>
              <w:shd w:fill="D9D9D9" w:val="clear"/>
              <w:spacing w:before="11" w:after="0"/>
              <w:rPr/>
            </w:pPr>
            <w:r>
              <w:rPr/>
              <w:t>Ministry continued</w:t>
            </w:r>
          </w:p>
        </w:tc>
      </w:tr>
      <w:tr>
        <w:trPr/>
        <w:tc>
          <w:tcPr>
            <w:tcW w:w="2418" w:type="dxa"/>
            <w:tcBorders/>
          </w:tcPr>
          <w:p>
            <w:pPr>
              <w:pStyle w:val="YTOCid"/>
              <w:shd w:fill="D9D9D9" w:val="clear"/>
              <w:spacing w:before="11" w:after="0"/>
              <w:rPr/>
            </w:pPr>
            <w:hyperlink w:anchor="BK2">
              <w:r>
                <w:rPr>
                  <w:rStyle w:val="Hyperlink"/>
                </w:rPr>
                <w:t>3.</w:t>
              </w:r>
            </w:hyperlink>
          </w:p>
        </w:tc>
        <w:tc>
          <w:tcPr>
            <w:tcW w:w="7782" w:type="dxa"/>
            <w:tcBorders/>
          </w:tcPr>
          <w:p>
            <w:pPr>
              <w:pStyle w:val="Ytable"/>
              <w:shd w:fill="D9D9D9" w:val="clear"/>
              <w:spacing w:before="11" w:after="0"/>
              <w:rPr/>
            </w:pPr>
            <w:r>
              <w:rPr/>
              <w:t>Minister to have charge</w:t>
            </w:r>
          </w:p>
        </w:tc>
      </w:tr>
      <w:tr>
        <w:trPr/>
        <w:tc>
          <w:tcPr>
            <w:tcW w:w="2418" w:type="dxa"/>
            <w:tcBorders/>
          </w:tcPr>
          <w:p>
            <w:pPr>
              <w:pStyle w:val="YTOCid"/>
              <w:shd w:fill="D9D9D9" w:val="clear"/>
              <w:spacing w:before="11" w:after="0"/>
              <w:rPr/>
            </w:pPr>
            <w:hyperlink w:anchor="BK3">
              <w:r>
                <w:rPr>
                  <w:rStyle w:val="Hyperlink"/>
                </w:rPr>
                <w:t>4.</w:t>
              </w:r>
            </w:hyperlink>
          </w:p>
        </w:tc>
        <w:tc>
          <w:tcPr>
            <w:tcW w:w="7782" w:type="dxa"/>
            <w:tcBorders/>
          </w:tcPr>
          <w:p>
            <w:pPr>
              <w:pStyle w:val="Ytable"/>
              <w:shd w:fill="D9D9D9" w:val="clear"/>
              <w:spacing w:before="11" w:after="0"/>
              <w:rPr/>
            </w:pPr>
            <w:r>
              <w:rPr/>
              <w:t>Duties of Minister</w:t>
            </w:r>
          </w:p>
        </w:tc>
      </w:tr>
      <w:tr>
        <w:trPr/>
        <w:tc>
          <w:tcPr>
            <w:tcW w:w="2418" w:type="dxa"/>
            <w:tcBorders/>
          </w:tcPr>
          <w:p>
            <w:pPr>
              <w:pStyle w:val="YTOCid"/>
              <w:shd w:fill="D9D9D9" w:val="clear"/>
              <w:spacing w:before="11" w:after="0"/>
              <w:rPr/>
            </w:pPr>
            <w:hyperlink w:anchor="BK4">
              <w:r>
                <w:rPr>
                  <w:rStyle w:val="Hyperlink"/>
                </w:rPr>
                <w:t>5.</w:t>
              </w:r>
            </w:hyperlink>
          </w:p>
        </w:tc>
        <w:tc>
          <w:tcPr>
            <w:tcW w:w="7782" w:type="dxa"/>
            <w:tcBorders/>
          </w:tcPr>
          <w:p>
            <w:pPr>
              <w:pStyle w:val="Ytable"/>
              <w:shd w:fill="D9D9D9" w:val="clear"/>
              <w:spacing w:before="11" w:after="0"/>
              <w:rPr/>
            </w:pPr>
            <w:r>
              <w:rPr/>
              <w:t>Deputy Minister</w:t>
            </w:r>
          </w:p>
        </w:tc>
      </w:tr>
      <w:tr>
        <w:trPr/>
        <w:tc>
          <w:tcPr>
            <w:tcW w:w="2418" w:type="dxa"/>
            <w:tcBorders/>
          </w:tcPr>
          <w:p>
            <w:pPr>
              <w:pStyle w:val="YTOCid"/>
              <w:shd w:fill="D9D9D9" w:val="clear"/>
              <w:spacing w:before="11" w:after="0"/>
              <w:rPr/>
            </w:pPr>
            <w:hyperlink w:anchor="BK5">
              <w:r>
                <w:rPr>
                  <w:rStyle w:val="Hyperlink"/>
                </w:rPr>
                <w:t>6.</w:t>
              </w:r>
            </w:hyperlink>
          </w:p>
        </w:tc>
        <w:tc>
          <w:tcPr>
            <w:tcW w:w="7782" w:type="dxa"/>
            <w:tcBorders/>
          </w:tcPr>
          <w:p>
            <w:pPr>
              <w:pStyle w:val="Ytable"/>
              <w:shd w:fill="D9D9D9" w:val="clear"/>
              <w:spacing w:before="11" w:after="0"/>
              <w:rPr/>
            </w:pPr>
            <w:r>
              <w:rPr/>
              <w:t>Employees</w:t>
            </w:r>
          </w:p>
        </w:tc>
      </w:tr>
      <w:tr>
        <w:trPr/>
        <w:tc>
          <w:tcPr>
            <w:tcW w:w="2418" w:type="dxa"/>
            <w:tcBorders/>
          </w:tcPr>
          <w:p>
            <w:pPr>
              <w:pStyle w:val="YTOCid"/>
              <w:shd w:fill="D9D9D9" w:val="clear"/>
              <w:spacing w:before="11" w:after="0"/>
              <w:rPr/>
            </w:pPr>
            <w:hyperlink w:anchor="BK6">
              <w:r>
                <w:rPr>
                  <w:rStyle w:val="Hyperlink"/>
                </w:rPr>
                <w:t>7.</w:t>
              </w:r>
            </w:hyperlink>
          </w:p>
        </w:tc>
        <w:tc>
          <w:tcPr>
            <w:tcW w:w="7782" w:type="dxa"/>
            <w:tcBorders/>
          </w:tcPr>
          <w:p>
            <w:pPr>
              <w:pStyle w:val="Ytable"/>
              <w:shd w:fill="D9D9D9" w:val="clear"/>
              <w:spacing w:before="11" w:after="0"/>
              <w:rPr/>
            </w:pPr>
            <w:r>
              <w:rPr/>
              <w:t>Delegation</w:t>
            </w:r>
          </w:p>
        </w:tc>
      </w:tr>
      <w:tr>
        <w:trPr/>
        <w:tc>
          <w:tcPr>
            <w:tcW w:w="2418" w:type="dxa"/>
            <w:tcBorders/>
          </w:tcPr>
          <w:p>
            <w:pPr>
              <w:pStyle w:val="YTOCid"/>
              <w:shd w:fill="D9D9D9" w:val="clear"/>
              <w:spacing w:before="11" w:after="0"/>
              <w:rPr/>
            </w:pPr>
            <w:hyperlink w:anchor="BK7">
              <w:r>
                <w:rPr>
                  <w:rStyle w:val="Hyperlink"/>
                </w:rPr>
                <w:t>8.</w:t>
              </w:r>
            </w:hyperlink>
          </w:p>
        </w:tc>
        <w:tc>
          <w:tcPr>
            <w:tcW w:w="7782" w:type="dxa"/>
            <w:tcBorders/>
          </w:tcPr>
          <w:p>
            <w:pPr>
              <w:pStyle w:val="Ytable"/>
              <w:shd w:fill="D9D9D9" w:val="clear"/>
              <w:spacing w:before="11" w:after="0"/>
              <w:rPr/>
            </w:pPr>
            <w:r>
              <w:rPr/>
              <w:t>No personal liability</w:t>
            </w:r>
          </w:p>
        </w:tc>
      </w:tr>
    </w:tbl>
    <w:p>
      <w:pPr>
        <w:pStyle w:val="Normal"/>
        <w:rPr/>
      </w:pPr>
      <w:r>
        <w:rPr/>
        <w:t xml:space="preserve">  </w:t>
      </w:r>
    </w:p>
    <w:p>
      <w:pPr>
        <w:pStyle w:val="Yheadnote"/>
        <w:rPr/>
      </w:pPr>
      <w:r>
        <w:rPr/>
        <w:t>Definitions</w:t>
      </w:r>
    </w:p>
    <w:p>
      <w:pPr>
        <w:pStyle w:val="Ysection"/>
        <w:rPr/>
      </w:pPr>
      <w:bookmarkStart w:id="1" w:name="BK0"/>
      <w:bookmarkEnd w:id="1"/>
      <w:r>
        <w:rPr>
          <w:b/>
        </w:rPr>
        <w:t xml:space="preserve">1 </w:t>
      </w:r>
      <w:r>
        <w:rPr/>
        <w:t>In this Act,</w:t>
      </w:r>
    </w:p>
    <w:p>
      <w:pPr>
        <w:pStyle w:val="Ydefinition"/>
        <w:rPr/>
      </w:pPr>
      <w:r>
        <w:rPr/>
        <w:t>“</w:t>
      </w:r>
      <w:r>
        <w:rPr/>
        <w:t xml:space="preserve">Minister” means the Minister of Community Safety and Correctional Services or such other member of the Executive Council as may be assigned the administration of this Act under the </w:t>
      </w:r>
      <w:r>
        <w:rPr>
          <w:rStyle w:val="ovitalic"/>
        </w:rPr>
        <w:t>Executive Council Act</w:t>
      </w:r>
      <w:r>
        <w:rPr/>
        <w:t>; (“ministre”)</w:t>
      </w:r>
    </w:p>
    <w:p>
      <w:pPr>
        <w:pStyle w:val="Ydefinition"/>
        <w:rPr/>
      </w:pPr>
      <w:r>
        <w:rPr/>
        <w:t>“</w:t>
      </w:r>
      <w:r>
        <w:rPr/>
        <w:t>Ministry” means the Ministry of the Minister. (“ministère”)</w:t>
      </w:r>
    </w:p>
    <w:p>
      <w:pPr>
        <w:pStyle w:val="Yheadnote"/>
        <w:rPr/>
      </w:pPr>
      <w:r>
        <w:rPr/>
        <w:t>Ministry continued</w:t>
      </w:r>
    </w:p>
    <w:p>
      <w:pPr>
        <w:pStyle w:val="Ysection"/>
        <w:rPr/>
      </w:pPr>
      <w:bookmarkStart w:id="2" w:name="BK1"/>
      <w:bookmarkEnd w:id="2"/>
      <w:r>
        <w:rPr>
          <w:b/>
        </w:rPr>
        <w:t xml:space="preserve">2 </w:t>
      </w:r>
      <w:r>
        <w:rPr/>
        <w:t>The Ministry of the public service known in English as the Ministry of Community Safety and Correctional Services and in French as ministère de la Sécurité communautaire et des Services correctionnels is continued.</w:t>
      </w:r>
    </w:p>
    <w:p>
      <w:pPr>
        <w:pStyle w:val="Yheadnote"/>
        <w:rPr/>
      </w:pPr>
      <w:r>
        <w:rPr/>
        <w:t>Minister to have charge</w:t>
      </w:r>
    </w:p>
    <w:p>
      <w:pPr>
        <w:pStyle w:val="Ysection"/>
        <w:rPr/>
      </w:pPr>
      <w:bookmarkStart w:id="3" w:name="BK2"/>
      <w:bookmarkEnd w:id="3"/>
      <w:r>
        <w:rPr>
          <w:b/>
        </w:rPr>
        <w:t xml:space="preserve">3 </w:t>
      </w:r>
      <w:r>
        <w:rPr/>
        <w:t>The Minister shall preside over and have charge of the Ministry.</w:t>
      </w:r>
    </w:p>
    <w:p>
      <w:pPr>
        <w:pStyle w:val="Yheadnote"/>
        <w:rPr/>
      </w:pPr>
      <w:r>
        <w:rPr/>
        <w:t>Duties of Minister</w:t>
      </w:r>
    </w:p>
    <w:p>
      <w:pPr>
        <w:pStyle w:val="Ysection"/>
        <w:rPr/>
      </w:pPr>
      <w:bookmarkStart w:id="4" w:name="BK3"/>
      <w:bookmarkEnd w:id="4"/>
      <w:r>
        <w:rPr>
          <w:b/>
        </w:rPr>
        <w:t xml:space="preserve">4 </w:t>
      </w:r>
      <w:r>
        <w:rPr/>
        <w:t>The Minister is responsible for the administration of this Act and any Acts that are assigned to the Minister by the Legislature or by the Lieutenant Governor in Council.</w:t>
      </w:r>
    </w:p>
    <w:p>
      <w:pPr>
        <w:pStyle w:val="Yheadnote"/>
        <w:rPr/>
      </w:pPr>
      <w:r>
        <w:rPr/>
        <w:t>Deputy Minister</w:t>
      </w:r>
    </w:p>
    <w:p>
      <w:pPr>
        <w:pStyle w:val="Ysection"/>
        <w:rPr/>
      </w:pPr>
      <w:bookmarkStart w:id="5" w:name="BK4"/>
      <w:bookmarkEnd w:id="5"/>
      <w:r>
        <w:rPr>
          <w:b/>
        </w:rPr>
        <w:t xml:space="preserve">5 </w:t>
      </w:r>
      <w:r>
        <w:rPr/>
        <w:t>The Lieutenant Governor in Council may appoint one or more Deputy Ministers of the Ministry.</w:t>
      </w:r>
    </w:p>
    <w:p>
      <w:pPr>
        <w:pStyle w:val="Yheadnote"/>
        <w:rPr/>
      </w:pPr>
      <w:r>
        <w:rPr/>
        <w:t>Employees</w:t>
      </w:r>
    </w:p>
    <w:p>
      <w:pPr>
        <w:pStyle w:val="Ysection"/>
        <w:rPr/>
      </w:pPr>
      <w:bookmarkStart w:id="6" w:name="BK5"/>
      <w:bookmarkEnd w:id="6"/>
      <w:r>
        <w:rPr>
          <w:b/>
        </w:rPr>
        <w:t xml:space="preserve">6 </w:t>
      </w:r>
      <w:r>
        <w:rPr/>
        <w:t xml:space="preserve">Such employees as are required from time to time for the proper conduct of the business of the Ministry may be appointed under Part III of the </w:t>
      </w:r>
      <w:r>
        <w:rPr>
          <w:rStyle w:val="ovitalic"/>
        </w:rPr>
        <w:t>Public Service of Ontario Act, 2006</w:t>
      </w:r>
      <w:r>
        <w:rPr/>
        <w:t>.</w:t>
      </w:r>
    </w:p>
    <w:p>
      <w:pPr>
        <w:pStyle w:val="Yheadnote"/>
        <w:rPr/>
      </w:pPr>
      <w:r>
        <w:rPr/>
        <w:t>Delegation</w:t>
      </w:r>
    </w:p>
    <w:p>
      <w:pPr>
        <w:pStyle w:val="Ysection"/>
        <w:rPr/>
      </w:pPr>
      <w:bookmarkStart w:id="7" w:name="BK6"/>
      <w:bookmarkEnd w:id="7"/>
      <w:r>
        <w:rPr>
          <w:b/>
        </w:rPr>
        <w:t xml:space="preserve">7 </w:t>
      </w:r>
      <w:r>
        <w:rPr/>
        <w:t>(1)  The Minister may delegate in writing any power or duty granted to or vested in the Minister by this or any other Act to a Deputy Minister or to any employee in the Ministry.</w:t>
      </w:r>
    </w:p>
    <w:p>
      <w:pPr>
        <w:pStyle w:val="Yheadnote"/>
        <w:rPr/>
      </w:pPr>
      <w:r>
        <w:rPr/>
        <w:t>Limitations</w:t>
      </w:r>
    </w:p>
    <w:p>
      <w:pPr>
        <w:pStyle w:val="Ysubsection"/>
        <w:rPr/>
      </w:pPr>
      <w:r>
        <w:rPr/>
        <w:t>(2)  A delegation may provide that it is subject to limitations, restrictions, conditions or requirements.</w:t>
      </w:r>
    </w:p>
    <w:p>
      <w:pPr>
        <w:pStyle w:val="Yheadnote"/>
        <w:rPr/>
      </w:pPr>
      <w:r>
        <w:rPr/>
        <w:t>Deeds and contracts executed by delegate</w:t>
      </w:r>
    </w:p>
    <w:p>
      <w:pPr>
        <w:pStyle w:val="Ysubsection"/>
        <w:rPr/>
      </w:pPr>
      <w:r>
        <w:rPr/>
        <w:t xml:space="preserve">(3)  Section 6 of the </w:t>
      </w:r>
      <w:r>
        <w:rPr>
          <w:rStyle w:val="ovitalic"/>
        </w:rPr>
        <w:t>Executive Council Act</w:t>
      </w:r>
      <w:r>
        <w:rPr/>
        <w:t xml:space="preserve"> does not apply to a deed or contract that is executed under a delegation made under subsection (1).</w:t>
      </w:r>
    </w:p>
    <w:p>
      <w:pPr>
        <w:pStyle w:val="Yheadnote"/>
        <w:rPr/>
      </w:pPr>
      <w:r>
        <w:rPr/>
        <w:t>No personal liability</w:t>
      </w:r>
    </w:p>
    <w:p>
      <w:pPr>
        <w:pStyle w:val="Ysection"/>
        <w:rPr/>
      </w:pPr>
      <w:bookmarkStart w:id="8" w:name="BK7"/>
      <w:bookmarkEnd w:id="8"/>
      <w:r>
        <w:rPr>
          <w:b/>
        </w:rPr>
        <w:t xml:space="preserve">8 </w:t>
      </w:r>
      <w:r>
        <w:rPr/>
        <w:t>(1)  No action or other proceeding may be instituted against a Deputy Minister or any other employee in the Ministry, or anyone acting under a Deputy Minister’s authority, for any act done in good faith in the execution or intended execution of the person’s duty or for any alleged neglect or default in the execution in good faith of the person’s duty.</w:t>
      </w:r>
    </w:p>
    <w:p>
      <w:pPr>
        <w:pStyle w:val="Yheadnote"/>
        <w:rPr/>
      </w:pPr>
      <w:r>
        <w:rPr/>
        <w:t>Crown liability</w:t>
      </w:r>
    </w:p>
    <w:p>
      <w:pPr>
        <w:pStyle w:val="Ysubsection"/>
        <w:rPr/>
      </w:pPr>
      <w:r>
        <w:rPr/>
        <w:t xml:space="preserve">(2)  Despite subsections 5 (2) and (4) of the </w:t>
      </w:r>
      <w:r>
        <w:rPr>
          <w:rStyle w:val="ovitalic"/>
        </w:rPr>
        <w:t>Proceedings Against the Crown Act</w:t>
      </w:r>
      <w:r>
        <w:rPr/>
        <w:t>, subsection (1) does not relieve the Crown of any liability to which it would otherwise be subject.</w:t>
      </w:r>
    </w:p>
    <w:p>
      <w:pPr>
        <w:pStyle w:val="Pnote"/>
        <w:rPr/>
      </w:pPr>
      <w:r>
        <w:rPr/>
        <w:t>Note: On the later of the day section 33 of Schedule 17 (</w:t>
      </w:r>
      <w:r>
        <w:rPr>
          <w:rStyle w:val="ovitalic"/>
        </w:rPr>
        <w:t>Crown Liability and Proceedings Act, 2019)</w:t>
      </w:r>
      <w:r>
        <w:rPr>
          <w:rStyle w:val="ovitalic"/>
          <w:i w:val="false"/>
        </w:rPr>
        <w:t xml:space="preserve"> to the </w:t>
      </w:r>
      <w:r>
        <w:rPr>
          <w:rStyle w:val="ovitalic"/>
        </w:rPr>
        <w:t xml:space="preserve">Protecting What Matters Most Act (Budget Measures), 2019 </w:t>
      </w:r>
      <w:r>
        <w:rPr/>
        <w:t>comes into force and the day subsection 8 (2) of Schedule 1 (</w:t>
      </w:r>
      <w:r>
        <w:rPr>
          <w:rStyle w:val="ovitalic"/>
        </w:rPr>
        <w:t>Ministry of Community Safety and Correctional Services Act, 2018</w:t>
      </w:r>
      <w:r>
        <w:rPr/>
        <w:t xml:space="preserve">) to the </w:t>
      </w:r>
      <w:r>
        <w:rPr>
          <w:rStyle w:val="ovitalic"/>
        </w:rPr>
        <w:t>Correctional Services Transformation Act, 2018</w:t>
      </w:r>
      <w:r>
        <w:rPr/>
        <w:t xml:space="preserve"> comes into force, subsection 8 (2) of the </w:t>
      </w:r>
      <w:r>
        <w:rPr>
          <w:rStyle w:val="ovitalic"/>
          <w:i w:val="false"/>
        </w:rPr>
        <w:t>Act</w:t>
      </w:r>
      <w:r>
        <w:rPr>
          <w:rStyle w:val="ovitalic"/>
        </w:rPr>
        <w:t xml:space="preserve"> </w:t>
      </w:r>
      <w:r>
        <w:rPr/>
        <w:t xml:space="preserve">is amended by striking out “subsections 5 (2) and (4) of the </w:t>
      </w:r>
      <w:r>
        <w:rPr>
          <w:rStyle w:val="ovitalic"/>
        </w:rPr>
        <w:t>Proceedings Against the Crown Act</w:t>
      </w:r>
      <w:r>
        <w:rPr/>
        <w:t xml:space="preserve">” and substituting “subsection 8 (3) of the </w:t>
      </w:r>
      <w:r>
        <w:rPr>
          <w:rStyle w:val="ovitalic"/>
        </w:rPr>
        <w:t>Crown Liability and Proceedings Act, 2019</w:t>
      </w:r>
      <w:r>
        <w:rPr/>
        <w:t>”. (See: 2019, c. 7, Sched. 17, s. 106)</w:t>
      </w:r>
    </w:p>
    <w:p>
      <w:pPr>
        <w:pStyle w:val="footnoteLeft"/>
        <w:rPr>
          <w:b/>
          <w:bCs/>
        </w:rPr>
      </w:pPr>
      <w:r>
        <w:rPr>
          <w:b/>
          <w:bCs/>
        </w:rPr>
        <w:t>Section Amendments with date in force (d/m/y)</w:t>
      </w:r>
    </w:p>
    <w:p>
      <w:pPr>
        <w:pStyle w:val="footnoteLeft"/>
        <w:jc w:val="start"/>
        <w:rPr/>
      </w:pPr>
      <w:r>
        <w:fldChar w:fldCharType="begin"/>
      </w:r>
      <w:r>
        <w:rPr>
          <w:rStyle w:val="Hyperlink"/>
        </w:rPr>
        <w:instrText xml:space="preserve"> HYPERLINK "http://www.ontario.ca/laws/statute/S19007" \l "sched17s106"</w:instrText>
      </w:r>
      <w:r>
        <w:rPr>
          <w:rStyle w:val="Hyperlink"/>
        </w:rPr>
        <w:fldChar w:fldCharType="separate"/>
      </w:r>
      <w:r>
        <w:rPr>
          <w:rStyle w:val="Hyperlink"/>
        </w:rPr>
        <w:t>2019, c. 7, Sched. 17, s. 106</w:t>
      </w:r>
      <w:r>
        <w:rPr>
          <w:rStyle w:val="Hyperlink"/>
        </w:rPr>
        <w:fldChar w:fldCharType="end"/>
      </w:r>
      <w:r>
        <w:rPr/>
        <w:t xml:space="preserve"> - not in force</w:t>
      </w:r>
    </w:p>
    <w:p>
      <w:pPr>
        <w:pStyle w:val="section"/>
        <w:rPr/>
      </w:pPr>
      <w:r>
        <w:rPr>
          <w:rStyle w:val="ovbold"/>
        </w:rPr>
        <w:t xml:space="preserve">9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10</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FF"/>
      <w:u w:val="single"/>
    </w:rPr>
  </w:style>
  <w:style w:type="character" w:styleId="sectionChar">
    <w:name w:val="section Char"/>
    <w:qFormat/>
    <w:rPr/>
  </w:style>
  <w:style w:type="character" w:styleId="Hyperlink1">
    <w:name w:val="Hyperlink1"/>
    <w:qFormat/>
    <w:rPr>
      <w:color w:val="000000"/>
      <w:u w:val="none"/>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m0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8m06"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2018-05-08T09:25:00Z</dcterms:created>
  <dc:creator/>
  <dc:description/>
  <cp:keywords/>
  <dc:language>en-CA</dc:language>
  <cp:lastModifiedBy/>
  <cp:lastPrinted>2019-05-30T15:32:00Z</cp:lastPrinted>
  <dcterms:modified xsi:type="dcterms:W3CDTF">2019-06-05T13:48:00Z</dcterms:modified>
  <cp:revision>15</cp:revision>
  <dc:subject/>
  <dc:title>Ministry of Community Safety and Correctional Services Act, 2018, S.O. 2018, c. 6,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20190529</vt:lpwstr>
  </property>
  <property fmtid="{D5CDD505-2E9C-101B-9397-08002B2CF9AE}" pid="3" name="To Date">
    <vt:lpwstr>Present</vt:lpwstr>
  </property>
</Properties>
</file>