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Ontario Loan Act, 2018</w:t>
      </w:r>
    </w:p>
    <w:p>
      <w:pPr>
        <w:pStyle w:val="chapter"/>
        <w:rPr/>
      </w:pPr>
      <w:r>
        <w:fldChar w:fldCharType="begin"/>
      </w:r>
      <w:r>
        <w:rPr>
          <w:rStyle w:val="Hyperlink"/>
        </w:rPr>
        <w:instrText xml:space="preserve"> HYPERLINK "https://www.ontario.ca/laws/statute/S18008" \l "sched20s2"</w:instrText>
      </w:r>
      <w:r>
        <w:rPr>
          <w:rStyle w:val="Hyperlink"/>
        </w:rPr>
        <w:fldChar w:fldCharType="separate"/>
      </w:r>
      <w:r>
        <w:rPr>
          <w:rStyle w:val="Hyperlink"/>
        </w:rPr>
        <w:t xml:space="preserve">S.o. </w:t>
      </w:r>
      <w:r>
        <w:rPr>
          <w:rStyle w:val="Hyperlink"/>
        </w:rPr>
        <w:fldChar w:fldCharType="end"/>
      </w:r>
      <w:r>
        <w:rPr>
          <w:rStyle w:val="Hyperlink"/>
          <w:smallCaps/>
        </w:rPr>
        <w:t>2018</w:t>
      </w:r>
      <w:r>
        <w:rPr>
          <w:rStyle w:val="Hyperlink"/>
        </w:rPr>
        <w:t xml:space="preserve">, chapter </w:t>
      </w:r>
      <w:r>
        <w:rPr>
          <w:rStyle w:val="Hyperlink"/>
          <w:smallCaps/>
        </w:rPr>
        <w:t>8</w:t>
        <w:br/>
        <w:t>Schedule 21</w:t>
      </w:r>
    </w:p>
    <w:p>
      <w:pPr>
        <w:pStyle w:val="ConsolidationPeriod"/>
        <w:rPr>
          <w:b/>
          <w:bCs w:val="false"/>
        </w:rPr>
      </w:pPr>
      <w:r>
        <w:rPr>
          <w:b/>
          <w:bCs w:val="false"/>
        </w:rPr>
        <w:t xml:space="preserve">Consolidation Period: </w:t>
      </w:r>
      <w:r>
        <w:rPr>
          <w:bCs w:val="false"/>
        </w:rPr>
        <w:t xml:space="preserve">From May 8, 2018 to the </w:t>
      </w:r>
      <w:hyperlink r:id="rId3">
        <w:r>
          <w:rPr>
            <w:rStyle w:val="Hyperlink"/>
            <w:bCs w:val="false"/>
            <w:color w:val="0000FF"/>
            <w:u w:val="single" w:color="0000FF"/>
            <w:lang w:val="en-GB"/>
          </w:rPr>
          <w:t>e-Laws currency date</w:t>
        </w:r>
      </w:hyperlink>
      <w:r>
        <w:rPr>
          <w:bCs w:val="false"/>
        </w:rPr>
        <w:t>.</w:t>
      </w:r>
    </w:p>
    <w:p>
      <w:pPr>
        <w:pStyle w:val="comment"/>
        <w:rPr/>
      </w:pPr>
      <w:r>
        <w:rPr/>
        <w:t>No amendments.</w:t>
      </w:r>
    </w:p>
    <w:p>
      <w:pPr>
        <w:pStyle w:val="headnote"/>
        <w:rPr/>
      </w:pPr>
      <w:bookmarkStart w:id="1" w:name="BK23"/>
      <w:bookmarkEnd w:id="1"/>
      <w:r>
        <w:rPr/>
        <w:t>Borrowing authorized</w:t>
      </w:r>
    </w:p>
    <w:p>
      <w:pPr>
        <w:pStyle w:val="section"/>
        <w:rPr/>
      </w:pPr>
      <w:r>
        <w:rPr>
          <w:b/>
        </w:rPr>
        <w:t xml:space="preserve">1 </w:t>
      </w:r>
      <w:r>
        <w:rPr/>
        <w:t xml:space="preserve">(1)  The Lieutenant Governor in Council may borrow in any manner provided by the </w:t>
      </w:r>
      <w:r>
        <w:rPr>
          <w:rStyle w:val="ovitalic"/>
        </w:rPr>
        <w:t>Financial Administration Act</w:t>
      </w:r>
      <w:r>
        <w:rPr/>
        <w:t xml:space="preserve"> such sums, not exceeding a total aggregate amount of $16 billion, as are considered necessary to discharge any indebtedness or obligation of Ontario or to make any payment authorized or required by any Act to be made out of the Consolidated Revenue Fund.</w:t>
      </w:r>
    </w:p>
    <w:p>
      <w:pPr>
        <w:pStyle w:val="headnote"/>
        <w:rPr/>
      </w:pPr>
      <w:r>
        <w:rPr/>
        <w:t>Other Acts</w:t>
      </w:r>
    </w:p>
    <w:p>
      <w:pPr>
        <w:pStyle w:val="subsection"/>
        <w:rPr>
          <w:sz w:val="24"/>
          <w:szCs w:val="24"/>
        </w:rPr>
      </w:pPr>
      <w:r>
        <w:rPr/>
        <w:t>(2)  The authority to borrow conferred by this Act is in addition to that conferred by any other Act.</w:t>
      </w:r>
    </w:p>
    <w:p>
      <w:pPr>
        <w:pStyle w:val="headnote"/>
        <w:rPr/>
      </w:pPr>
      <w:r>
        <w:rPr/>
        <w:t>Expiry</w:t>
      </w:r>
    </w:p>
    <w:p>
      <w:pPr>
        <w:pStyle w:val="section"/>
        <w:rPr>
          <w:sz w:val="24"/>
          <w:szCs w:val="24"/>
        </w:rPr>
      </w:pPr>
      <w:r>
        <w:rPr>
          <w:b/>
        </w:rPr>
        <w:t xml:space="preserve">2 </w:t>
      </w:r>
      <w:r>
        <w:rPr/>
        <w:t>(1)  No order in council authorizing borrowing authorized under this Act shall be made after December 31, 2020.</w:t>
      </w:r>
    </w:p>
    <w:p>
      <w:pPr>
        <w:pStyle w:val="headnote"/>
        <w:rPr/>
      </w:pPr>
      <w:r>
        <w:rPr/>
        <w:t>Same</w:t>
      </w:r>
    </w:p>
    <w:p>
      <w:pPr>
        <w:pStyle w:val="subsection"/>
        <w:rPr>
          <w:sz w:val="24"/>
          <w:szCs w:val="24"/>
        </w:rPr>
      </w:pPr>
      <w:r>
        <w:rPr/>
        <w:t>(2)  The Crown shall not borrow money after December 31, 2021 under the authority of an order in council that authorizes borrowing under this Act unless, on or before December 31, 2021,</w:t>
      </w:r>
    </w:p>
    <w:p>
      <w:pPr>
        <w:pStyle w:val="paragraph"/>
        <w:rPr/>
      </w:pPr>
      <w:r>
        <w:rPr>
          <w:rFonts w:cs="Arial" w:ascii="Arial" w:hAnsi="Arial"/>
          <w:color w:val="505050"/>
        </w:rPr>
        <w:tab/>
      </w:r>
      <w:r>
        <w:rPr/>
        <w:t>(a)</w:t>
        <w:tab/>
        <w:t>the Crown has entered into an agreement to borrow the money under the order in council; or</w:t>
      </w:r>
    </w:p>
    <w:p>
      <w:pPr>
        <w:pStyle w:val="paragraph"/>
        <w:rPr/>
      </w:pPr>
      <w:r>
        <w:rPr/>
        <w:tab/>
        <w:t>(b)</w:t>
        <w:tab/>
        <w:t>the Crown has entered into an agreement respecting a borrowing program and the agreement enables the Crown to borrow up to a specified limit under the order in council.</w:t>
      </w:r>
    </w:p>
    <w:p>
      <w:pPr>
        <w:pStyle w:val="section"/>
        <w:rPr>
          <w:sz w:val="24"/>
          <w:szCs w:val="24"/>
        </w:rPr>
      </w:pPr>
      <w:r>
        <w:rPr>
          <w:b/>
        </w:rPr>
        <w:t>3</w:t>
      </w:r>
      <w:r>
        <w:rPr/>
        <w:t xml:space="preserve"> </w:t>
      </w:r>
      <w:r>
        <w:rPr>
          <w:rStyle w:val="ovsmallcap"/>
        </w:rPr>
        <w:t>Omitted</w:t>
      </w:r>
      <w:r>
        <w:rPr/>
        <w:t xml:space="preserve"> (</w:t>
      </w:r>
      <w:r>
        <w:rPr>
          <w:rStyle w:val="ovsmallcap"/>
        </w:rPr>
        <w:t>provides for coming into force of provisions of this Act</w:t>
      </w:r>
      <w:r>
        <w:rPr/>
        <w:t>).</w:t>
      </w:r>
    </w:p>
    <w:p>
      <w:pPr>
        <w:pStyle w:val="section"/>
        <w:rPr/>
      </w:pPr>
      <w:r>
        <w:rPr>
          <w:b/>
        </w:rPr>
        <w:t>4</w:t>
      </w:r>
      <w:r>
        <w:rPr/>
        <w:t xml:space="preserve"> </w:t>
      </w:r>
      <w:r>
        <w:rPr>
          <w:rStyle w:val="ovsmallcap"/>
        </w:rPr>
        <w:t>Omitted (enacts short title of this Act)</w:t>
      </w:r>
      <w:r>
        <w:rPr/>
        <w:t xml:space="preserve">. </w:t>
      </w:r>
    </w:p>
    <w:p>
      <w:pPr>
        <w:pStyle w:val="line"/>
        <w:rPr/>
      </w:pPr>
      <w:bookmarkStart w:id="2" w:name="BK24"/>
      <w:bookmarkEnd w:id="2"/>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Courier New">
    <w:charset w:val="00" w:characterSet="windows-1252"/>
    <w:family w:val="modern"/>
    <w:pitch w:val="default"/>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SubtitleChar">
    <w:name w:val="Subtitle Char"/>
    <w:qFormat/>
    <w:rPr>
      <w:rFonts w:ascii="Arial" w:hAnsi="Arial" w:cs="Arial"/>
      <w:sz w:val="24"/>
      <w:szCs w:val="24"/>
    </w:rPr>
  </w:style>
  <w:style w:type="character" w:styleId="BodyTextChar">
    <w:name w:val="Body Text Char"/>
    <w:qFormat/>
    <w:rPr/>
  </w:style>
  <w:style w:type="character" w:styleId="BodyText2Char">
    <w:name w:val="Body Text 2 Char"/>
    <w:qFormat/>
    <w:rPr/>
  </w:style>
  <w:style w:type="character" w:styleId="ClosingChar">
    <w:name w:val="Closing Char"/>
    <w:qFormat/>
    <w:rPr/>
  </w:style>
  <w:style w:type="character" w:styleId="CommentReference">
    <w:name w:val="Comment Reference"/>
    <w:qFormat/>
    <w:rPr>
      <w:sz w:val="16"/>
      <w:szCs w:val="16"/>
    </w:rPr>
  </w:style>
  <w:style w:type="character" w:styleId="CommentTextChar">
    <w:name w:val="Comment Text Char"/>
    <w:qFormat/>
    <w:rPr/>
  </w:style>
  <w:style w:type="character" w:styleId="DateChar">
    <w:name w:val="Date Char"/>
    <w:qFormat/>
    <w:rPr/>
  </w:style>
  <w:style w:type="character" w:styleId="DocumentMapChar">
    <w:name w:val="Document Map Char"/>
    <w:qFormat/>
    <w:rPr>
      <w:rFonts w:ascii="Tahoma" w:hAnsi="Tahoma" w:cs="Tahoma"/>
      <w:shd w:fill="000080" w:val="clear"/>
    </w:rPr>
  </w:style>
  <w:style w:type="character" w:styleId="E-mailSignatureChar">
    <w:name w:val="E-mail Signature Char"/>
    <w:qFormat/>
    <w:rPr/>
  </w:style>
  <w:style w:type="character" w:styleId="Emphasis">
    <w:name w:val="Emphasis"/>
    <w:qFormat/>
    <w:rPr>
      <w:i/>
      <w:iCs/>
    </w:rPr>
  </w:style>
  <w:style w:type="character" w:styleId="EndnoteCharacters">
    <w:name w:val="Endnote Characters"/>
    <w:qFormat/>
    <w:rPr>
      <w:vertAlign w:val="superscript"/>
    </w:rPr>
  </w:style>
  <w:style w:type="character" w:styleId="EndnoteTextChar">
    <w:name w:val="Endnote Text Char"/>
    <w:qForma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qFormat/>
    <w:rPr/>
  </w:style>
  <w:style w:type="character" w:styleId="HTMLAcronym">
    <w:name w:val="HTML Acronym"/>
    <w:qFormat/>
    <w:rPr/>
  </w:style>
  <w:style w:type="character" w:styleId="HTMLAddressChar">
    <w:name w:val="HTML Address Char"/>
    <w:qFormat/>
    <w:rPr>
      <w:i/>
      <w:iCs/>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PreformattedChar">
    <w:name w:val="HTML Preformatted Char"/>
    <w:qFormat/>
    <w:rPr>
      <w:rFonts w:ascii="Courier New" w:hAnsi="Courier New" w:cs="Courier New"/>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rPr/>
  </w:style>
  <w:style w:type="character" w:styleId="MacroTextChar">
    <w:name w:val="Macro Text Char"/>
    <w:qFormat/>
    <w:rPr>
      <w:rFonts w:ascii="Courier New" w:hAnsi="Courier New" w:cs="Courier New"/>
      <w:lang w:val="en-US"/>
    </w:rPr>
  </w:style>
  <w:style w:type="character" w:styleId="NoteHeadingChar">
    <w:name w:val="Note Heading Char"/>
    <w:qFormat/>
    <w:rPr/>
  </w:style>
  <w:style w:type="character" w:styleId="PlainTextChar">
    <w:name w:val="Plain Text Char"/>
    <w:qFormat/>
    <w:rPr>
      <w:rFonts w:ascii="Courier New" w:hAnsi="Courier New" w:cs="Courier New"/>
    </w:rPr>
  </w:style>
  <w:style w:type="character" w:styleId="SalutationChar">
    <w:name w:val="Salutation Char"/>
    <w:qFormat/>
    <w:rPr/>
  </w:style>
  <w:style w:type="character" w:styleId="SignatureChar">
    <w:name w:val="Signature Char"/>
    <w:qFormat/>
    <w:rPr/>
  </w:style>
  <w:style w:type="character" w:styleId="TitleChar">
    <w:name w:val="Title Char"/>
    <w:qFormat/>
    <w:rPr>
      <w:rFonts w:ascii="Arial" w:hAnsi="Arial" w:cs="Arial"/>
      <w:b/>
      <w:bCs/>
      <w:kern w:val="2"/>
      <w:sz w:val="32"/>
      <w:szCs w:val="32"/>
    </w:rPr>
  </w:style>
  <w:style w:type="character" w:styleId="Strong">
    <w:name w:val="Strong"/>
    <w:qFormat/>
    <w:rPr>
      <w:b/>
      <w:bCs/>
    </w:rPr>
  </w:style>
  <w:style w:type="character" w:styleId="HeaderChar">
    <w:name w:val="Header Char"/>
    <w:qFormat/>
    <w:rPr/>
  </w:style>
  <w:style w:type="character" w:styleId="FooterChar">
    <w:name w:val="Footer Char"/>
    <w:basedOn w:val="DefaultParagraphFont"/>
    <w:qFormat/>
    <w:rPr/>
  </w:style>
  <w:style w:type="character" w:styleId="BodyText3Char">
    <w:name w:val="Body Text 3 Char"/>
    <w:qFormat/>
    <w:rPr>
      <w:sz w:val="16"/>
      <w:szCs w:val="16"/>
    </w:rPr>
  </w:style>
  <w:style w:type="character" w:styleId="BodyTextFirstIndentChar">
    <w:name w:val="Body Text First Indent Char"/>
    <w:basedOn w:val="BodyTextChar"/>
    <w:qFormat/>
    <w:rPr/>
  </w:style>
  <w:style w:type="character" w:styleId="BodyTextIndentChar">
    <w:name w:val="Body Text Indent Char"/>
    <w:qFormat/>
    <w:rPr/>
  </w:style>
  <w:style w:type="character" w:styleId="BodyTextFirstIndent2Char">
    <w:name w:val="Body Text First Indent 2 Char"/>
    <w:basedOn w:val="BodyTextIndentChar"/>
    <w:qFormat/>
    <w:rPr/>
  </w:style>
  <w:style w:type="character" w:styleId="BodyTextIndent2Char">
    <w:name w:val="Body Text Indent 2 Char"/>
    <w:qFormat/>
    <w:rPr/>
  </w:style>
  <w:style w:type="character" w:styleId="BodyTextIndent3Char">
    <w:name w:val="Body Text Indent 3 Char"/>
    <w:qFormat/>
    <w:rPr>
      <w:sz w:val="16"/>
      <w:szCs w:val="16"/>
    </w:rPr>
  </w:style>
  <w:style w:type="character" w:styleId="MessageHeaderChar">
    <w:name w:val="Message Header Char"/>
    <w:qFormat/>
    <w:rPr>
      <w:rFonts w:ascii="Arial" w:hAnsi="Arial" w:cs="Arial"/>
      <w:sz w:val="24"/>
      <w:szCs w:val="24"/>
      <w:shd w:fill="CCCCCC" w:val="clear"/>
    </w:rPr>
  </w:style>
  <w:style w:type="character" w:styleId="QuoteChar">
    <w:name w:val="Quote Char"/>
    <w:qFormat/>
    <w:rPr>
      <w:i/>
      <w:iCs/>
      <w:color w:val="000000"/>
    </w:rPr>
  </w:style>
  <w:style w:type="character" w:styleId="BalloonTextChar">
    <w:name w:val="Balloon Text Char"/>
    <w:qFormat/>
    <w:rPr>
      <w:rFonts w:ascii="Tahoma" w:hAnsi="Tahoma" w:cs="Tahoma"/>
      <w:sz w:val="16"/>
      <w:szCs w:val="16"/>
    </w:rPr>
  </w:style>
  <w:style w:type="character" w:styleId="BookTitle">
    <w:name w:val="Book Title"/>
    <w:qFormat/>
    <w:rPr>
      <w:b/>
      <w:bCs/>
      <w:smallCaps/>
      <w:spacing w:val="5"/>
    </w:rPr>
  </w:style>
  <w:style w:type="character" w:styleId="IntenseQuoteChar">
    <w:name w:val="Intense Quote Char"/>
    <w:qFormat/>
    <w:rPr>
      <w:b/>
      <w:bCs/>
      <w:i/>
      <w:iCs/>
      <w:color w:val="4F81BD"/>
    </w:rPr>
  </w:style>
  <w:style w:type="character" w:styleId="IntenseReference">
    <w:name w:val="Intense Reference"/>
    <w:qFormat/>
    <w:rPr>
      <w:b/>
      <w:bCs/>
      <w:smallCaps/>
      <w:color w:val="C0504D"/>
      <w:spacing w:val="5"/>
      <w:u w:val="single"/>
    </w:rPr>
  </w:style>
  <w:style w:type="character" w:styleId="SubtleReference">
    <w:name w:val="Subtle Reference"/>
    <w:qFormat/>
    <w:rPr>
      <w:smallCaps/>
      <w:color w:val="C0504D"/>
      <w:u w:val="single"/>
    </w:rPr>
  </w:style>
  <w:style w:type="character" w:styleId="headnoteChar">
    <w:name w:val="headnote Char"/>
    <w:qFormat/>
    <w:rPr>
      <w:b/>
    </w:rPr>
  </w:style>
  <w:style w:type="character" w:styleId="subsectionChar">
    <w:name w:val="subsection Char"/>
    <w:qFormat/>
    <w:rPr/>
  </w:style>
  <w:style w:type="character" w:styleId="clauseChar">
    <w:name w:val="clause Char"/>
    <w:qFormat/>
    <w:rPr>
      <w:lang w:val="en-GB"/>
    </w:rPr>
  </w:style>
  <w:style w:type="character" w:styleId="sectionChar">
    <w:name w:val="section Char"/>
    <w:qFormat/>
    <w:rPr/>
  </w:style>
  <w:style w:type="character" w:styleId="PsectionChar">
    <w:name w:val="Psection Char"/>
    <w:qFormat/>
    <w:rPr>
      <w:b/>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xtitle">
    <w:name w:val="xtitl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60" w:start="260" w:end="0"/>
    </w:pPr>
    <w:rPr/>
  </w:style>
  <w:style w:type="paragraph" w:styleId="Index2">
    <w:name w:val="index 2"/>
    <w:basedOn w:val="Normal"/>
    <w:next w:val="Normal"/>
    <w:pPr>
      <w:ind w:hanging="260" w:start="520" w:end="0"/>
    </w:pPr>
    <w:rPr/>
  </w:style>
  <w:style w:type="paragraph" w:styleId="Index3">
    <w:name w:val="index 3"/>
    <w:basedOn w:val="Normal"/>
    <w:next w:val="Normal"/>
    <w:pPr>
      <w:ind w:hanging="260" w:start="780" w:end="0"/>
    </w:pPr>
    <w:rPr/>
  </w:style>
  <w:style w:type="paragraph" w:styleId="Index4">
    <w:name w:val="Index 4"/>
    <w:basedOn w:val="Normal"/>
    <w:next w:val="Normal"/>
    <w:qFormat/>
    <w:pPr>
      <w:ind w:hanging="260" w:start="1040" w:end="0"/>
    </w:pPr>
    <w:rPr/>
  </w:style>
  <w:style w:type="paragraph" w:styleId="Index5">
    <w:name w:val="Index 5"/>
    <w:basedOn w:val="Normal"/>
    <w:next w:val="Normal"/>
    <w:qFormat/>
    <w:pPr>
      <w:ind w:hanging="260" w:start="1300" w:end="0"/>
    </w:pPr>
    <w:rPr/>
  </w:style>
  <w:style w:type="paragraph" w:styleId="Index6">
    <w:name w:val="Index 6"/>
    <w:basedOn w:val="Normal"/>
    <w:next w:val="Normal"/>
    <w:qFormat/>
    <w:pPr>
      <w:ind w:hanging="260" w:start="1560" w:end="0"/>
    </w:pPr>
    <w:rPr/>
  </w:style>
  <w:style w:type="paragraph" w:styleId="Index7">
    <w:name w:val="Index 7"/>
    <w:basedOn w:val="Normal"/>
    <w:next w:val="Normal"/>
    <w:qFormat/>
    <w:pPr>
      <w:ind w:hanging="260" w:start="1820" w:end="0"/>
    </w:pPr>
    <w:rPr/>
  </w:style>
  <w:style w:type="paragraph" w:styleId="Index8">
    <w:name w:val="Index 8"/>
    <w:basedOn w:val="Normal"/>
    <w:next w:val="Normal"/>
    <w:qFormat/>
    <w:pPr>
      <w:ind w:hanging="260" w:start="2080" w:end="0"/>
    </w:pPr>
    <w:rPr/>
  </w:style>
  <w:style w:type="paragraph" w:styleId="Index9">
    <w:name w:val="Index 9"/>
    <w:basedOn w:val="Normal"/>
    <w:next w:val="Normal"/>
    <w:qFormat/>
    <w:pPr>
      <w:ind w:hanging="260" w:start="234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tabs>
        <w:tab w:val="clear" w:pos="720"/>
        <w:tab w:val="left" w:pos="360" w:leader="none"/>
      </w:tabs>
      <w:ind w:hanging="360" w:start="360" w:end="0"/>
    </w:pPr>
    <w:rPr/>
  </w:style>
  <w:style w:type="paragraph" w:styleId="ListBullet21">
    <w:name w:val="List Bullet 21"/>
    <w:basedOn w:val="Normal"/>
    <w:qFormat/>
    <w:pPr>
      <w:tabs>
        <w:tab w:val="left" w:pos="720" w:leader="none"/>
      </w:tabs>
      <w:ind w:hanging="360" w:start="720" w:end="0"/>
    </w:pPr>
    <w:rPr/>
  </w:style>
  <w:style w:type="paragraph" w:styleId="ListBullet31">
    <w:name w:val="List Bullet 31"/>
    <w:basedOn w:val="Normal"/>
    <w:qFormat/>
    <w:pPr>
      <w:tabs>
        <w:tab w:val="clear" w:pos="720"/>
        <w:tab w:val="left" w:pos="1080" w:leader="none"/>
      </w:tabs>
      <w:ind w:hanging="360" w:start="1080" w:end="0"/>
    </w:pPr>
    <w:rPr/>
  </w:style>
  <w:style w:type="paragraph" w:styleId="ListBullet41">
    <w:name w:val="List Bullet 41"/>
    <w:basedOn w:val="Normal"/>
    <w:qFormat/>
    <w:pPr>
      <w:tabs>
        <w:tab w:val="clear" w:pos="720"/>
        <w:tab w:val="left" w:pos="1440" w:leader="none"/>
      </w:tabs>
      <w:ind w:hanging="360" w:start="1440" w:end="0"/>
    </w:pPr>
    <w:rPr/>
  </w:style>
  <w:style w:type="paragraph" w:styleId="ListBullet51">
    <w:name w:val="List Bullet 51"/>
    <w:basedOn w:val="Normal"/>
    <w:qFormat/>
    <w:pPr>
      <w:tabs>
        <w:tab w:val="clear" w:pos="720"/>
        <w:tab w:val="left" w:pos="1800" w:leader="none"/>
      </w:tabs>
      <w:ind w:hanging="360" w:start="18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320" w:end="0"/>
    </w:pPr>
    <w:rPr/>
  </w:style>
  <w:style w:type="paragraph" w:styleId="TableofAuthorities">
    <w:name w:val="Table of Authorities"/>
    <w:basedOn w:val="Normal"/>
    <w:next w:val="Normal"/>
    <w:qFormat/>
    <w:pPr>
      <w:ind w:hanging="260" w:start="260" w:end="0"/>
    </w:pPr>
    <w:rPr/>
  </w:style>
  <w:style w:type="paragraph" w:styleId="TableofFigures">
    <w:name w:val="Table of Figures"/>
    <w:basedOn w:val="Normal"/>
    <w:next w:val="Normal"/>
    <w:qFormat/>
    <w:pPr>
      <w:ind w:hanging="520" w:start="52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60" w:end="0"/>
    </w:pPr>
    <w:rPr/>
  </w:style>
  <w:style w:type="paragraph" w:styleId="TOC3">
    <w:name w:val="toc 3"/>
    <w:basedOn w:val="Normal"/>
    <w:next w:val="Normal"/>
    <w:pPr>
      <w:ind w:hanging="0" w:start="520" w:end="0"/>
    </w:pPr>
    <w:rPr/>
  </w:style>
  <w:style w:type="paragraph" w:styleId="TOC4">
    <w:name w:val="toc 4"/>
    <w:basedOn w:val="Normal"/>
    <w:next w:val="Normal"/>
    <w:pPr>
      <w:ind w:hanging="0" w:start="780" w:end="0"/>
    </w:pPr>
    <w:rPr/>
  </w:style>
  <w:style w:type="paragraph" w:styleId="TOC5">
    <w:name w:val="toc 5"/>
    <w:basedOn w:val="Normal"/>
    <w:next w:val="Normal"/>
    <w:pPr>
      <w:ind w:hanging="0" w:start="1040" w:end="0"/>
    </w:pPr>
    <w:rPr/>
  </w:style>
  <w:style w:type="paragraph" w:styleId="TOC6">
    <w:name w:val="toc 6"/>
    <w:basedOn w:val="Normal"/>
    <w:next w:val="Normal"/>
    <w:pPr>
      <w:ind w:hanging="0" w:start="1300" w:end="0"/>
    </w:pPr>
    <w:rPr/>
  </w:style>
  <w:style w:type="paragraph" w:styleId="TOC7">
    <w:name w:val="toc 7"/>
    <w:basedOn w:val="Normal"/>
    <w:next w:val="Normal"/>
    <w:pPr>
      <w:ind w:hanging="0" w:start="1560" w:end="0"/>
    </w:pPr>
    <w:rPr/>
  </w:style>
  <w:style w:type="paragraph" w:styleId="TOC8">
    <w:name w:val="toc 8"/>
    <w:basedOn w:val="Normal"/>
    <w:next w:val="Normal"/>
    <w:pPr>
      <w:ind w:hanging="0" w:start="1820" w:end="0"/>
    </w:pPr>
    <w:rPr/>
  </w:style>
  <w:style w:type="paragraph" w:styleId="TOC9">
    <w:name w:val="toc 9"/>
    <w:basedOn w:val="Normal"/>
    <w:next w:val="Normal"/>
    <w:pPr>
      <w:ind w:hanging="0" w:start="2080" w:end="0"/>
    </w:pPr>
    <w:rPr/>
  </w:style>
  <w:style w:type="paragraph" w:styleId="xpara">
    <w:name w:val="xpara"/>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pPr>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ListNumber">
    <w:name w:val="List Number"/>
    <w:basedOn w:val="Normal"/>
    <w:qFormat/>
    <w:pPr>
      <w:tabs>
        <w:tab w:val="clear" w:pos="720"/>
        <w:tab w:val="left" w:pos="360" w:leader="none"/>
      </w:tabs>
      <w:ind w:hanging="360" w:start="36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ListNumber2">
    <w:name w:val="List Number 2"/>
    <w:basedOn w:val="Normal"/>
    <w:qFormat/>
    <w:pPr>
      <w:tabs>
        <w:tab w:val="left" w:pos="720" w:leader="none"/>
      </w:tabs>
      <w:ind w:hanging="360" w:start="720" w:end="0"/>
    </w:pPr>
    <w:rPr/>
  </w:style>
  <w:style w:type="paragraph" w:styleId="ListNumber3">
    <w:name w:val="List Number 3"/>
    <w:basedOn w:val="Normal"/>
    <w:qFormat/>
    <w:pPr>
      <w:tabs>
        <w:tab w:val="clear" w:pos="720"/>
        <w:tab w:val="left" w:pos="1080" w:leader="none"/>
      </w:tabs>
      <w:ind w:hanging="360" w:start="1080" w:end="0"/>
    </w:pPr>
    <w:rPr/>
  </w:style>
  <w:style w:type="paragraph" w:styleId="ListNumber4">
    <w:name w:val="List Number 4"/>
    <w:basedOn w:val="Normal"/>
    <w:qFormat/>
    <w:pPr>
      <w:tabs>
        <w:tab w:val="clear" w:pos="720"/>
        <w:tab w:val="left" w:pos="1440" w:leader="none"/>
      </w:tabs>
      <w:ind w:hanging="360" w:start="1440" w:end="0"/>
    </w:pPr>
    <w:rPr/>
  </w:style>
  <w:style w:type="paragraph" w:styleId="ListNumber5">
    <w:name w:val="List Number 5"/>
    <w:basedOn w:val="Normal"/>
    <w:qFormat/>
    <w:pPr>
      <w:tabs>
        <w:tab w:val="clear" w:pos="720"/>
        <w:tab w:val="left" w:pos="1800" w:leader="none"/>
      </w:tabs>
      <w:ind w:hanging="360" w:start="1800" w:end="0"/>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Quote">
    <w:name w:val="Quote"/>
    <w:basedOn w:val="Normal"/>
    <w:next w:val="Normal"/>
    <w:qFormat/>
    <w:pPr/>
    <w:rPr>
      <w:i/>
      <w:iCs/>
      <w:color w:val="000000"/>
    </w:rPr>
  </w:style>
  <w:style w:type="paragraph" w:styleId="BalloonText">
    <w:name w:val="Balloon Text"/>
    <w:basedOn w:val="Normal"/>
    <w:qFormat/>
    <w:pPr/>
    <w:rPr>
      <w:rFonts w:ascii="Tahoma" w:hAnsi="Tahoma" w:cs="Tahoma"/>
      <w:sz w:val="16"/>
      <w:szCs w:val="16"/>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firstdef">
    <w:name w:val="firstdef"/>
    <w:basedOn w:val="definition"/>
    <w:qFormat/>
    <w:pPr/>
    <w:rPr/>
  </w:style>
  <w:style w:type="paragraph" w:styleId="Pclause">
    <w:name w:val="Pclause"/>
    <w:basedOn w:val="clause"/>
    <w:qFormat/>
    <w:pPr/>
    <w:rPr>
      <w:b/>
    </w:rPr>
  </w:style>
  <w:style w:type="paragraph" w:styleId="Ssubsection">
    <w:name w:val="Ssubsection"/>
    <w:basedOn w:val="subsection"/>
    <w:qFormat/>
    <w:pPr/>
    <w:rPr/>
  </w:style>
  <w:style w:type="paragraph" w:styleId="xleftpara">
    <w:name w:val="xleftpara"/>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num">
    <w:name w:val="xnum"/>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partnum">
    <w:name w:val="xpartnum"/>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equationind1">
    <w:name w:val="equationind1"/>
    <w:basedOn w:val="paragraph"/>
    <w:qFormat/>
    <w:pPr/>
    <w:rPr/>
  </w:style>
  <w:style w:type="paragraph" w:styleId="equationind2">
    <w:name w:val="equationind2"/>
    <w:basedOn w:val="subpara"/>
    <w:qFormat/>
    <w:pPr/>
    <w:rPr/>
  </w:style>
  <w:style w:type="paragraph" w:styleId="tableitalic">
    <w:name w:val="tableitalic"/>
    <w:basedOn w:val="table"/>
    <w:qFormat/>
    <w:pPr/>
    <w:rPr>
      <w:i/>
    </w:rPr>
  </w:style>
  <w:style w:type="paragraph" w:styleId="xsched">
    <w:name w:val="xsched"/>
    <w:basedOn w:val="xpartnum"/>
    <w:qFormat/>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8o08"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8o08"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2018-05-16T12:09:00Z</dcterms:created>
  <dc:creator/>
  <dc:description/>
  <cp:keywords/>
  <dc:language>en-CA</dc:language>
  <cp:lastModifiedBy/>
  <dcterms:modified xsi:type="dcterms:W3CDTF">2018-05-16T12:39:00Z</dcterms:modified>
  <cp:revision>2</cp:revision>
  <dc:subject/>
  <dc:title>Ontario Loan Act, 2018, S.O. 2018, c. 8, Sched. 21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20180508</vt:lpwstr>
  </property>
  <property fmtid="{D5CDD505-2E9C-101B-9397-08002B2CF9AE}" pid="3" name="To Date">
    <vt:lpwstr>Present</vt:lpwstr>
  </property>
</Properties>
</file>