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Egyptian Heritage Month Act, 2019</w:t>
      </w:r>
    </w:p>
    <w:p>
      <w:pPr>
        <w:pStyle w:val="chapter"/>
        <w:rPr/>
      </w:pPr>
      <w:r>
        <w:fldChar w:fldCharType="begin"/>
      </w:r>
      <w:r>
        <w:rPr>
          <w:rStyle w:val="Hyperlink"/>
        </w:rPr>
        <w:instrText xml:space="preserve"> HYPERLINK "https://www.ontario.ca/laws/statute/s19015" \l "BK13"</w:instrText>
      </w:r>
      <w:r>
        <w:rPr>
          <w:rStyle w:val="Hyperlink"/>
        </w:rPr>
        <w:fldChar w:fldCharType="separate"/>
      </w:r>
      <w:r>
        <w:rPr>
          <w:rStyle w:val="Hyperlink"/>
        </w:rPr>
        <w:t>s.o. 2019, CHAPter 15</w:t>
        <w:br/>
        <w:t>schedule 11</w:t>
      </w:r>
      <w:r>
        <w:rPr>
          <w:rStyle w:val="Hyperlink"/>
        </w:rPr>
        <w:fldChar w:fldCharType="end"/>
      </w:r>
    </w:p>
    <w:p>
      <w:pPr>
        <w:pStyle w:val="ConsolidationPeriod"/>
        <w:rPr/>
      </w:pPr>
      <w:r>
        <w:rPr>
          <w:b/>
        </w:rPr>
        <w:t>Consolidation Period:</w:t>
      </w:r>
      <w:r>
        <w:rPr/>
        <w:t xml:space="preserve">  From December 10, 2019 to the </w:t>
      </w:r>
      <w:hyperlink r:id="rId3">
        <w:r>
          <w:rPr>
            <w:rStyle w:val="Hyperlink"/>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The month of July is an important one for the Egyptian community and every year on July 23 the Egyptian community celebrates Egypt National Day.</w:t>
      </w:r>
    </w:p>
    <w:p>
      <w:pPr>
        <w:pStyle w:val="preamble"/>
        <w:rPr/>
      </w:pPr>
      <w:r>
        <w:rPr/>
        <w:t>By proclaiming the month of July as Egyptian Heritage Month, the Province of Ontario recognizes the important contributions that Egyptian Canadians have made and continue to make to the economic, social and cultural fabric of Ontario. Egyptian Heritage Month is an opportunity to remember, celebrate and educate future generations about the achievements and contributions of Egyptian Canadians in the province.</w:t>
      </w:r>
    </w:p>
    <w:p>
      <w:pPr>
        <w:pStyle w:val="headnote"/>
        <w:rPr/>
      </w:pPr>
      <w:r>
        <w:rPr/>
        <w:t>Egyptian Heritage Month</w:t>
      </w:r>
    </w:p>
    <w:p>
      <w:pPr>
        <w:pStyle w:val="section"/>
        <w:rPr>
          <w:rFonts w:ascii="Calibri" w:hAnsi="Calibri" w:eastAsia="Malgun Gothic" w:cs="Calibri"/>
          <w:sz w:val="24"/>
          <w:szCs w:val="24"/>
        </w:rPr>
      </w:pPr>
      <w:r>
        <w:rPr>
          <w:b/>
        </w:rPr>
        <w:t xml:space="preserve">1 </w:t>
      </w:r>
      <w:r>
        <w:rPr/>
        <w:t>The month of July in each year is proclaimed as Egyptian Heritage Month.</w:t>
      </w:r>
    </w:p>
    <w:p>
      <w:pPr>
        <w:pStyle w:val="Psection"/>
        <w:rPr/>
      </w:pPr>
      <w:bookmarkStart w:id="1" w:name="sched11s2"/>
      <w:bookmarkEnd w:id="1"/>
      <w:r>
        <w:rPr/>
        <w:t xml:space="preserve">2 </w:t>
      </w:r>
      <w:r>
        <w:rPr>
          <w:rStyle w:val="ovsmallcap"/>
          <w:b/>
        </w:rPr>
        <w:t>Omitted</w:t>
      </w:r>
      <w:r>
        <w:rPr>
          <w:b w:val="false"/>
        </w:rPr>
        <w:t xml:space="preserve"> (</w:t>
      </w:r>
      <w:r>
        <w:rPr>
          <w:rStyle w:val="ovsmallcap"/>
          <w:b/>
        </w:rPr>
        <w:t>provides for coming into force of provisions of this Act</w:t>
      </w:r>
      <w:r>
        <w:rPr>
          <w:b w:val="false"/>
        </w:rPr>
        <w:t>).</w:t>
      </w:r>
    </w:p>
    <w:p>
      <w:pPr>
        <w:pStyle w:val="Psection"/>
        <w:rPr/>
      </w:pPr>
      <w:bookmarkStart w:id="2" w:name="sched11s3"/>
      <w:bookmarkEnd w:id="2"/>
      <w:r>
        <w:rPr/>
        <w:t xml:space="preserve">3 </w:t>
      </w:r>
      <w:r>
        <w:rPr>
          <w:rStyle w:val="ovsmallcap"/>
          <w:b/>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type w:val="nextPage"/>
      <w:pgSz w:w="12240" w:h="15840"/>
      <w:pgMar w:left="1200" w:right="960" w:gutter="0" w:header="720" w:top="1440" w:footer="0" w:bottom="1104"/>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libri">
    <w:charset w:val="00" w:characterSet="windows-1252"/>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fldChar w:fldCharType="begin"/>
    </w:r>
    <w:r>
      <w:rPr/>
      <w:instrText xml:space="preserve"> PAGE </w:instrText>
    </w:r>
    <w:r>
      <w:rPr/>
      <w:fldChar w:fldCharType="separate"/>
    </w:r>
    <w:r>
      <w:rPr/>
      <w:t>0</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50"/>
  <w:mirrorMargins/>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lang w:val="en-CA" w:eastAsia="en-CA"/>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Cs w:val="26"/>
    </w:rPr>
  </w:style>
  <w:style w:type="paragraph" w:styleId="Heading6">
    <w:name w:val="heading 6"/>
    <w:basedOn w:val="Normal"/>
    <w:next w:val="Normal"/>
    <w:qFormat/>
    <w:pPr>
      <w:numPr>
        <w:ilvl w:val="5"/>
        <w:numId w:val="1"/>
      </w:numPr>
      <w:spacing w:before="240" w:after="60"/>
      <w:outlineLvl w:val="5"/>
    </w:pPr>
    <w:rPr>
      <w:b/>
      <w:bCs/>
      <w:sz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Strong">
    <w:name w:val="Strong"/>
    <w:qFormat/>
    <w:rPr>
      <w:b/>
      <w:bCs/>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bold">
    <w:name w:val="ovbold"/>
    <w:qFormat/>
    <w:rPr>
      <w:b/>
    </w:rPr>
  </w:style>
  <w:style w:type="character" w:styleId="ovitalic">
    <w:name w:val="ovitalic"/>
    <w:qFormat/>
    <w:rPr>
      <w:i/>
    </w:rPr>
  </w:style>
  <w:style w:type="character" w:styleId="BalloonTextChar">
    <w:name w:val="Balloon Text Char"/>
    <w:qFormat/>
    <w:rPr>
      <w:rFonts w:ascii="Tahoma" w:hAnsi="Tahoma" w:cs="Tahoma"/>
      <w:sz w:val="16"/>
      <w:szCs w:val="16"/>
      <w:lang w:val="en-US"/>
    </w:rPr>
  </w:style>
  <w:style w:type="character" w:styleId="HeaderChar">
    <w:name w:val="Header Char"/>
    <w:qFormat/>
    <w:rPr>
      <w:sz w:val="26"/>
      <w:lang w:val="en-US"/>
    </w:rPr>
  </w:style>
  <w:style w:type="character" w:styleId="FootnoteTextChar">
    <w:name w:val="Footnote Text Char"/>
    <w:basedOn w:val="DefaultParagraphFont"/>
    <w:qFormat/>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Heading1Char">
    <w:name w:val="Heading 1 Char"/>
    <w:qFormat/>
    <w:rPr>
      <w:rFonts w:ascii="Arial" w:hAnsi="Arial" w:cs="Arial"/>
      <w:b/>
      <w:kern w:val="2"/>
      <w:sz w:val="28"/>
      <w:lang w:val="en-CA" w:eastAsia="en-CA"/>
    </w:rPr>
  </w:style>
  <w:style w:type="character" w:styleId="Heading2Char">
    <w:name w:val="Heading 2 Char"/>
    <w:qFormat/>
    <w:rPr>
      <w:rFonts w:ascii="Arial" w:hAnsi="Arial" w:cs="Arial"/>
      <w:b/>
      <w:bCs/>
      <w:i/>
      <w:iCs/>
      <w:sz w:val="28"/>
      <w:szCs w:val="28"/>
    </w:rPr>
  </w:style>
  <w:style w:type="character" w:styleId="Heading3Char">
    <w:name w:val="Heading 3 Char"/>
    <w:qFormat/>
    <w:rPr>
      <w:rFonts w:ascii="Arial" w:hAnsi="Arial" w:cs="Arial"/>
      <w:b/>
      <w:bCs/>
      <w:sz w:val="26"/>
      <w:szCs w:val="26"/>
    </w:rPr>
  </w:style>
  <w:style w:type="character" w:styleId="Heading4Char">
    <w:name w:val="Heading 4 Char"/>
    <w:qFormat/>
    <w:rPr>
      <w:b/>
      <w:bCs/>
      <w:sz w:val="28"/>
      <w:szCs w:val="28"/>
    </w:rPr>
  </w:style>
  <w:style w:type="character" w:styleId="Heading5Char">
    <w:name w:val="Heading 5 Char"/>
    <w:qFormat/>
    <w:rPr>
      <w:b/>
      <w:bCs/>
      <w:i/>
      <w:iCs/>
      <w:sz w:val="26"/>
      <w:szCs w:val="26"/>
    </w:rPr>
  </w:style>
  <w:style w:type="character" w:styleId="Heading6Char">
    <w:name w:val="Heading 6 Char"/>
    <w:qFormat/>
    <w:rPr>
      <w:b/>
      <w:bCs/>
      <w:sz w:val="22"/>
    </w:rPr>
  </w:style>
  <w:style w:type="character" w:styleId="Heading7Char">
    <w:name w:val="Heading 7 Char"/>
    <w:qFormat/>
    <w:rPr>
      <w:sz w:val="24"/>
      <w:szCs w:val="24"/>
    </w:rPr>
  </w:style>
  <w:style w:type="character" w:styleId="Heading8Char">
    <w:name w:val="Heading 8 Char"/>
    <w:qFormat/>
    <w:rPr>
      <w:i/>
      <w:iCs/>
      <w:sz w:val="24"/>
      <w:szCs w:val="24"/>
    </w:rPr>
  </w:style>
  <w:style w:type="character" w:styleId="Heading9Char">
    <w:name w:val="Heading 9 Char"/>
    <w:qFormat/>
    <w:rPr>
      <w:rFonts w:ascii="Arial" w:hAnsi="Arial" w:cs="Arial"/>
      <w:sz w:val="22"/>
    </w:rPr>
  </w:style>
  <w:style w:type="character" w:styleId="FooterChar">
    <w:name w:val="Footer Char"/>
    <w:basedOn w:val="DefaultParagraphFont"/>
    <w:qFormat/>
    <w:rPr/>
  </w:style>
  <w:style w:type="character" w:styleId="BodyTextChar">
    <w:name w:val="Body Text Char"/>
    <w:qFormat/>
    <w:rPr>
      <w:sz w:val="26"/>
    </w:rPr>
  </w:style>
  <w:style w:type="character" w:styleId="BodyText2Char">
    <w:name w:val="Body Text 2 Char"/>
    <w:qFormat/>
    <w:rPr>
      <w:sz w:val="26"/>
    </w:rPr>
  </w:style>
  <w:style w:type="character" w:styleId="ClosingChar">
    <w:name w:val="Closing Char"/>
    <w:qFormat/>
    <w:rPr>
      <w:sz w:val="26"/>
    </w:rPr>
  </w:style>
  <w:style w:type="character" w:styleId="DocumentMapChar">
    <w:name w:val="Document Map Char"/>
    <w:qFormat/>
    <w:rPr>
      <w:rFonts w:ascii="Tahoma" w:hAnsi="Tahoma" w:cs="Tahoma"/>
      <w:shd w:fill="000080" w:val="clear"/>
    </w:rPr>
  </w:style>
  <w:style w:type="character" w:styleId="Emphasis">
    <w:name w:val="Emphasis"/>
    <w:qFormat/>
    <w:rPr>
      <w:i/>
      <w:iCs/>
    </w:rPr>
  </w:style>
  <w:style w:type="character" w:styleId="EndnoteTextChar">
    <w:name w:val="Endnote Text Char"/>
    <w:basedOn w:val="DefaultParagraphFont"/>
    <w:qForma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AddressChar">
    <w:name w:val="HTML Address Char"/>
    <w:qFormat/>
    <w:rPr>
      <w:i/>
      <w:iCs/>
      <w:sz w:val="26"/>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LineNumber">
    <w:name w:val="line number"/>
    <w:basedOn w:val="DefaultParagraphFont"/>
    <w:rPr/>
  </w:style>
  <w:style w:type="character" w:styleId="MacroTextChar">
    <w:name w:val="Macro Text Char"/>
    <w:qFormat/>
    <w:rPr>
      <w:rFonts w:ascii="Courier New" w:hAnsi="Courier New" w:cs="Courier New"/>
      <w:lang w:val="en-US"/>
    </w:rPr>
  </w:style>
  <w:style w:type="character" w:styleId="NoteHeadingChar">
    <w:name w:val="Note Heading Char"/>
    <w:qFormat/>
    <w:rPr>
      <w:sz w:val="26"/>
    </w:rPr>
  </w:style>
  <w:style w:type="character" w:styleId="PlainTextChar">
    <w:name w:val="Plain Text Char"/>
    <w:qFormat/>
    <w:rPr>
      <w:rFonts w:ascii="Courier New" w:hAnsi="Courier New" w:cs="Courier New"/>
    </w:rPr>
  </w:style>
  <w:style w:type="character" w:styleId="SalutationChar">
    <w:name w:val="Salutation Char"/>
    <w:qFormat/>
    <w:rPr>
      <w:sz w:val="26"/>
    </w:rPr>
  </w:style>
  <w:style w:type="character" w:styleId="BodyText3Char">
    <w:name w:val="Body Text 3 Char"/>
    <w:qFormat/>
    <w:rPr>
      <w:sz w:val="16"/>
      <w:szCs w:val="16"/>
    </w:rPr>
  </w:style>
  <w:style w:type="character" w:styleId="BodyTextFirstIndentChar">
    <w:name w:val="Body Text First Indent Char"/>
    <w:qFormat/>
    <w:rPr>
      <w:sz w:val="26"/>
    </w:rPr>
  </w:style>
  <w:style w:type="character" w:styleId="BodyTextIndentChar">
    <w:name w:val="Body Text Indent Char"/>
    <w:qFormat/>
    <w:rPr>
      <w:sz w:val="26"/>
    </w:rPr>
  </w:style>
  <w:style w:type="character" w:styleId="BodyTextFirstIndent2Char">
    <w:name w:val="Body Text First Indent 2 Char"/>
    <w:qFormat/>
    <w:rPr>
      <w:sz w:val="26"/>
    </w:rPr>
  </w:style>
  <w:style w:type="character" w:styleId="BodyTextIndent2Char">
    <w:name w:val="Body Text Indent 2 Char"/>
    <w:qFormat/>
    <w:rPr>
      <w:sz w:val="26"/>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character" w:styleId="PsectionChar">
    <w:name w:val="Psection Char"/>
    <w:qFormat/>
    <w:rPr>
      <w:b/>
    </w:rPr>
  </w:style>
  <w:style w:type="character" w:styleId="sectionChar">
    <w:name w:val="section Char"/>
    <w:qFormat/>
    <w:rPr/>
  </w:style>
  <w:style w:type="character" w:styleId="headnoteChar">
    <w:name w:val="headnote Char"/>
    <w:qFormat/>
    <w:rPr>
      <w:b/>
    </w:rPr>
  </w:style>
  <w:style w:type="character" w:styleId="PscheduleChar">
    <w:name w:val="Pschedule Char"/>
    <w:qFormat/>
    <w:rPr>
      <w:b/>
      <w:cap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clause">
    <w:name w:val="clause"/>
    <w:basedOn w:val="Normal"/>
    <w:qFormat/>
    <w:pPr>
      <w:spacing w:lineRule="exact" w:line="209" w:before="111" w:after="0"/>
      <w:ind w:hanging="538" w:start="538" w:end="0"/>
      <w:jc w:val="both"/>
    </w:pPr>
    <w:rPr>
      <w:lang w:val="fr-CA"/>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defclause">
    <w:name w:val="defclause"/>
    <w:basedOn w:val="Normal"/>
    <w:qFormat/>
    <w:pPr>
      <w:spacing w:lineRule="exact" w:line="209" w:before="111" w:after="0"/>
      <w:ind w:hanging="538" w:start="538" w:end="0"/>
      <w:jc w:val="both"/>
    </w:pPr>
    <w:rPr>
      <w:lang w:val="fr-CA"/>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subpara">
    <w:name w:val="Psubpara"/>
    <w:basedOn w:val="subpara"/>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Ysection">
    <w:name w:val="Ysection"/>
    <w:basedOn w:val="section"/>
    <w:qFormat/>
    <w:pPr>
      <w:shd w:fill="D9D9D9" w:val="clear"/>
    </w:pPr>
    <w:rPr/>
  </w:style>
  <w:style w:type="paragraph" w:styleId="subsection">
    <w:name w:val="subsection"/>
    <w:basedOn w:val="section"/>
    <w:qFormat/>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Pclause">
    <w:name w:val="Pclause"/>
    <w:basedOn w:val="Normal"/>
    <w:qFormat/>
    <w:pPr>
      <w:spacing w:lineRule="exact" w:line="209" w:before="111" w:after="0"/>
      <w:ind w:hanging="538" w:start="538" w:end="0"/>
      <w:jc w:val="both"/>
    </w:pPr>
    <w:rPr>
      <w:b/>
      <w:lang w:val="fr-CA"/>
    </w:rPr>
  </w:style>
  <w:style w:type="paragraph" w:styleId="Pheading1">
    <w:name w:val="Pheading1"/>
    <w:basedOn w:val="heading11"/>
    <w:qFormat/>
    <w:pPr/>
    <w:rPr>
      <w:b/>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Pparagraph">
    <w:name w:val="Pparagraph"/>
    <w:basedOn w:val="paragraph"/>
    <w:qFormat/>
    <w:pPr/>
    <w:rPr>
      <w:b/>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Psection">
    <w:name w:val="Psection"/>
    <w:basedOn w:val="section"/>
    <w:qFormat/>
    <w:pPr/>
    <w:rPr>
      <w:b/>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Psubsection">
    <w:name w:val="Psubsection"/>
    <w:basedOn w:val="subsection"/>
    <w:qFormat/>
    <w:pPr/>
    <w:rPr>
      <w:b/>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subsection">
    <w:name w:val="Ssubsection"/>
    <w:basedOn w:val="Normal"/>
    <w:qFormat/>
    <w:pPr>
      <w:spacing w:lineRule="exact" w:line="209" w:before="100" w:after="0"/>
      <w:jc w:val="both"/>
    </w:pPr>
    <w:rPr>
      <w:lang w:val="fr-CA"/>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subclause">
    <w:name w:val="subclause"/>
    <w:basedOn w:val="Normal"/>
    <w:qFormat/>
    <w:pPr>
      <w:spacing w:lineRule="exact" w:line="209" w:before="111" w:after="0"/>
      <w:ind w:hanging="955" w:start="955" w:end="0"/>
      <w:jc w:val="both"/>
    </w:pPr>
    <w:rPr>
      <w:lang w:val="fr-CA"/>
    </w:rPr>
  </w:style>
  <w:style w:type="paragraph" w:styleId="subsubclause">
    <w:name w:val="subsubclause"/>
    <w:basedOn w:val="Normal"/>
    <w:qFormat/>
    <w:pPr>
      <w:spacing w:lineRule="exact" w:line="209" w:before="111" w:after="0"/>
      <w:ind w:hanging="1435" w:start="1435" w:end="0"/>
      <w:jc w:val="both"/>
    </w:pPr>
    <w:rPr>
      <w:lang w:val="fr-CA"/>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xleftpara">
    <w:name w:val="xleftpara"/>
    <w:basedOn w:val="Normal"/>
    <w:qFormat/>
    <w:pPr>
      <w:spacing w:lineRule="exact" w:line="179" w:before="111" w:after="0"/>
      <w:jc w:val="both"/>
    </w:pPr>
    <w:rPr>
      <w:sz w:val="18"/>
      <w:lang w:val="fr-CA"/>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xpara">
    <w:name w:val="xpara"/>
    <w:basedOn w:val="Normal"/>
    <w:qFormat/>
    <w:pPr>
      <w:spacing w:lineRule="exact" w:line="179" w:before="90" w:after="0"/>
      <w:jc w:val="both"/>
    </w:pPr>
    <w:rPr>
      <w:sz w:val="18"/>
      <w:lang w:val="fr-CA"/>
    </w:rPr>
  </w:style>
  <w:style w:type="paragraph" w:styleId="xpartnum">
    <w:name w:val="xpartnum"/>
    <w:basedOn w:val="Normal"/>
    <w:qFormat/>
    <w:pPr>
      <w:keepNext w:val="true"/>
      <w:keepLines/>
      <w:suppressAutoHyphens w:val="true"/>
      <w:spacing w:lineRule="exact" w:line="179" w:before="91" w:after="0"/>
      <w:jc w:val="center"/>
    </w:pPr>
    <w:rPr>
      <w:b/>
      <w:caps/>
      <w:sz w:val="18"/>
      <w:lang w:val="fr-CA"/>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xtitle">
    <w:name w:val="xtitle"/>
    <w:basedOn w:val="Normal"/>
    <w:qFormat/>
    <w:pPr>
      <w:keepNext w:val="true"/>
      <w:suppressAutoHyphens w:val="true"/>
      <w:spacing w:lineRule="atLeast" w:line="179" w:before="0" w:after="199"/>
      <w:jc w:val="center"/>
    </w:pPr>
    <w:rPr>
      <w:caps/>
      <w:sz w:val="18"/>
      <w:lang w:val="fr-CA"/>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Pheading">
    <w:name w:val="Pheading"/>
    <w:basedOn w:val="Normal"/>
    <w:qFormat/>
    <w:pPr>
      <w:keepNext w:val="true"/>
      <w:keepLines/>
      <w:suppressAutoHyphens w:val="true"/>
      <w:spacing w:lineRule="exact" w:line="259" w:before="150" w:after="0"/>
      <w:jc w:val="center"/>
    </w:pPr>
    <w:rPr>
      <w:b/>
      <w:sz w:val="24"/>
      <w:lang w:val="fr-CA"/>
    </w:rPr>
  </w:style>
  <w:style w:type="paragraph" w:styleId="equationind1">
    <w:name w:val="equationind1"/>
    <w:basedOn w:val="Normal"/>
    <w:qFormat/>
    <w:pPr>
      <w:spacing w:lineRule="exact" w:line="209" w:before="111" w:after="0"/>
      <w:ind w:hanging="538" w:start="538" w:end="0"/>
      <w:jc w:val="both"/>
    </w:pPr>
    <w:rPr>
      <w:lang w:val="fr-CA"/>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BalloonText">
    <w:name w:val="Balloon Text"/>
    <w:basedOn w:val="Normal"/>
    <w:qFormat/>
    <w:pPr/>
    <w:rPr>
      <w:rFonts w:ascii="Tahoma" w:hAnsi="Tahoma" w:cs="Tahoma"/>
      <w:sz w:val="16"/>
      <w:szCs w:val="16"/>
    </w:rPr>
  </w:style>
  <w:style w:type="paragraph" w:styleId="FootnoteText">
    <w:name w:val="footnote text"/>
    <w:basedOn w:val="Normal"/>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ind w:hanging="360" w:start="360" w:end="0"/>
    </w:pPr>
    <w:rPr/>
  </w:style>
  <w:style w:type="paragraph" w:styleId="ListBullet21">
    <w:name w:val="List Bullet 21"/>
    <w:basedOn w:val="Normal"/>
    <w:qFormat/>
    <w:pPr>
      <w:ind w:hanging="360" w:start="720" w:end="0"/>
    </w:pPr>
    <w:rPr/>
  </w:style>
  <w:style w:type="paragraph" w:styleId="ListBullet31">
    <w:name w:val="List Bullet 31"/>
    <w:basedOn w:val="Normal"/>
    <w:qFormat/>
    <w:pPr>
      <w:ind w:hanging="360" w:start="1080" w:end="0"/>
    </w:pPr>
    <w:rPr/>
  </w:style>
  <w:style w:type="paragraph" w:styleId="ListBullet41">
    <w:name w:val="List Bullet 41"/>
    <w:basedOn w:val="Normal"/>
    <w:qFormat/>
    <w:pPr>
      <w:ind w:hanging="360" w:start="1440" w:end="0"/>
    </w:pPr>
    <w:rPr/>
  </w:style>
  <w:style w:type="paragraph" w:styleId="ListBullet51">
    <w:name w:val="List Bullet 51"/>
    <w:basedOn w:val="Normal"/>
    <w:qFormat/>
    <w:pPr>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ind w:hanging="360" w:start="36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ind w:hanging="360" w:start="720" w:end="0"/>
    </w:pPr>
    <w:rPr/>
  </w:style>
  <w:style w:type="paragraph" w:styleId="ListNumber3">
    <w:name w:val="List Number 3"/>
    <w:basedOn w:val="Normal"/>
    <w:qFormat/>
    <w:pPr>
      <w:ind w:hanging="360" w:start="1080" w:end="0"/>
    </w:pPr>
    <w:rPr/>
  </w:style>
  <w:style w:type="paragraph" w:styleId="ListNumber4">
    <w:name w:val="List Number 4"/>
    <w:basedOn w:val="Normal"/>
    <w:qFormat/>
    <w:pPr>
      <w:ind w:hanging="360" w:start="1440" w:end="0"/>
    </w:pPr>
    <w:rPr/>
  </w:style>
  <w:style w:type="paragraph" w:styleId="ListNumber5">
    <w:name w:val="List Number 5"/>
    <w:basedOn w:val="Normal"/>
    <w:qFormat/>
    <w:pPr>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Revision">
    <w:name w:val="Revision"/>
    <w:qFormat/>
    <w:pPr>
      <w:widowControl/>
      <w:bidi w:val="0"/>
    </w:pPr>
    <w:rPr>
      <w:rFonts w:ascii="Times New Roman" w:hAnsi="Times New Roman" w:eastAsia="Times New Roman" w:cs="Times New Roman"/>
      <w:color w:val="auto"/>
      <w:sz w:val="26"/>
      <w:szCs w:val="20"/>
      <w:lang w:val="en-CA" w:bidi="ar-SA" w:eastAsia="zh-CN"/>
    </w:rPr>
  </w:style>
  <w:style w:type="paragraph" w:styleId="Index1">
    <w:name w:val="index 1"/>
    <w:basedOn w:val="Normal"/>
    <w:next w:val="Normal"/>
    <w:pPr>
      <w:ind w:hanging="260" w:start="260" w:end="0"/>
    </w:pPr>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ote-f">
    <w:name w:val="xnote-f"/>
    <w:basedOn w:val="Normal"/>
    <w:qFormat/>
    <w:pPr>
      <w:spacing w:lineRule="atLeast" w:line="179" w:before="0" w:after="80"/>
      <w:jc w:val="center"/>
    </w:pPr>
    <w:rPr>
      <w:i/>
      <w:sz w:val="18"/>
      <w:lang w:val="fr-CA"/>
    </w:rPr>
  </w:style>
  <w:style w:type="paragraph" w:styleId="Pnote-f">
    <w:name w:val="Pnote-f"/>
    <w:basedOn w:val="Normal"/>
    <w:qFormat/>
    <w:pPr>
      <w:shd w:fill="D8D8D8" w:val="clear"/>
      <w:tabs>
        <w:tab w:val="clear" w:pos="720"/>
        <w:tab w:val="left" w:pos="0" w:leader="none"/>
      </w:tabs>
      <w:spacing w:lineRule="exact" w:line="179" w:before="100" w:after="0"/>
      <w:jc w:val="both"/>
    </w:pPr>
    <w:rPr>
      <w:b/>
      <w:sz w:val="16"/>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9e1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9e15"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2019-12-17T12:58:00Z</dcterms:created>
  <dc:creator/>
  <dc:description/>
  <cp:keywords/>
  <dc:language>en-CA</dc:language>
  <cp:lastModifiedBy/>
  <cp:lastPrinted>2019-12-10T12:59:00Z</cp:lastPrinted>
  <dcterms:modified xsi:type="dcterms:W3CDTF">2020-01-06T15:50:00Z</dcterms:modified>
  <cp:revision>1</cp:revision>
  <dc:subject/>
  <dc:title>Egyptian Heritage Month Act, 2019, S.O. 2019, c. 15, Sched. 11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20191210</vt:lpwstr>
  </property>
  <property fmtid="{D5CDD505-2E9C-101B-9397-08002B2CF9AE}" pid="3" name="Sensitivity">
    <vt:lpwstr>OPS - Unclassified Information</vt:lpwstr>
  </property>
  <property fmtid="{D5CDD505-2E9C-101B-9397-08002B2CF9AE}" pid="4" name="To Date">
    <vt:lpwstr>Present</vt:lpwstr>
  </property>
</Properties>
</file>