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2019</w:t>
      </w:r>
    </w:p>
    <w:p>
      <w:pPr>
        <w:pStyle w:val="chapter"/>
        <w:rPr/>
      </w:pPr>
      <w:r>
        <w:fldChar w:fldCharType="begin"/>
      </w:r>
      <w:r>
        <w:rPr>
          <w:rStyle w:val="Hyperlink"/>
        </w:rPr>
        <w:instrText xml:space="preserve"> HYPERLINK "https://www.ontario.ca/laws/statute/S19007" \l "BK48"</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r>
      <w:r>
        <w:rPr>
          <w:smallCaps/>
        </w:rPr>
        <w:br/>
        <w:t>Schedule 46</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May 29, 2019</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$15.1 billion,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pPr>
      <w:r>
        <w:rPr/>
        <w:t>(2)  The authority to borrow conferred by this Act is in addition to that conferred by any other Act.</w:t>
      </w:r>
    </w:p>
    <w:p>
      <w:pPr>
        <w:pStyle w:val="headnote"/>
        <w:rPr/>
      </w:pPr>
      <w:r>
        <w:rPr/>
        <w:t>Expiry</w:t>
      </w:r>
    </w:p>
    <w:p>
      <w:pPr>
        <w:pStyle w:val="section"/>
        <w:rPr/>
      </w:pPr>
      <w:r>
        <w:rPr>
          <w:b/>
        </w:rPr>
        <w:t xml:space="preserve">2 </w:t>
      </w:r>
      <w:r>
        <w:rPr/>
        <w:t>(1)  No order in council authorizing borrowing authorized under this Act shall be made after December 31, 2021.</w:t>
      </w:r>
    </w:p>
    <w:p>
      <w:pPr>
        <w:pStyle w:val="headnote"/>
        <w:rPr/>
      </w:pPr>
      <w:r>
        <w:rPr/>
        <w:t>Same</w:t>
      </w:r>
    </w:p>
    <w:p>
      <w:pPr>
        <w:pStyle w:val="subsection"/>
        <w:rPr/>
      </w:pPr>
      <w:r>
        <w:rPr/>
        <w:t>(2)  The Crown shall not borrow money after December 31, 2022 under the authority of an order in council that authorizes borrowing under this Act unless, on or before December 31, 2022,</w:t>
      </w:r>
    </w:p>
    <w:p>
      <w:pPr>
        <w:pStyle w:val="paragraph"/>
        <w:rPr/>
      </w:pPr>
      <w:r>
        <w:rPr>
          <w:rFonts w:cs="Arial" w:ascii="Arial" w:hAnsi="Arial"/>
        </w:rPr>
        <w:tab/>
      </w:r>
      <w:r>
        <w:rPr/>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pPr>
      <w:r>
        <w:rPr>
          <w:rStyle w:val="ovbold"/>
        </w:rPr>
        <w:t xml:space="preserve">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Hyperlink">
    <w:name w:val="Hyperlink"/>
    <w:rPr>
      <w:color w:val="000000"/>
      <w:u w:val="none"/>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o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o07"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2019-05-30T08:34:00Z</dcterms:created>
  <dc:creator/>
  <dc:description/>
  <cp:keywords/>
  <dc:language>en-CA</dc:language>
  <cp:lastModifiedBy/>
  <dcterms:modified xsi:type="dcterms:W3CDTF">2019-05-30T13:55:00Z</dcterms:modified>
  <cp:revision>3</cp:revision>
  <dc:subject/>
  <dc:title>Ontario Loan Act, 2019, S.O. 2019, c. 7, Sched. 46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20190529</vt:lpwstr>
  </property>
  <property fmtid="{D5CDD505-2E9C-101B-9397-08002B2CF9AE}" pid="3" name="Sensitivity">
    <vt:lpwstr>OPS - Unclassified Information</vt:lpwstr>
  </property>
  <property fmtid="{D5CDD505-2E9C-101B-9397-08002B2CF9AE}" pid="4" name="To Date">
    <vt:lpwstr>Present</vt:lpwstr>
  </property>
</Properties>
</file>