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Nikola Tesla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29</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Nikola Tesla, a prolific Serbian-American inventor and engineer, created the polyphase alternating current (AC) production and long-distance transmission system in 1888 and subsequently changed the world.</w:t>
      </w:r>
    </w:p>
    <w:p>
      <w:pPr>
        <w:pStyle w:val="preamble"/>
        <w:rPr/>
      </w:pPr>
      <w:r>
        <w:rPr/>
        <w:t>The advent of AC is inexorably linked to Ontario’s own history. Tesla’s system was used in the creation of the world’s first hydroelectric power plant at Niagara Falls. Within 25 years, every major municipality and township in Southern Ontario had access to electric power.</w:t>
      </w:r>
    </w:p>
    <w:p>
      <w:pPr>
        <w:pStyle w:val="preamble"/>
        <w:rPr/>
      </w:pPr>
      <w:r>
        <w:rPr/>
        <w:t xml:space="preserve">In addition to the AC and hydroelectric system that we all use today, Nikola Tesla developed many other important patents that ushered in twentieth century technology such as the electric motor, radio, remote control, robotics, x-rays, radar, laser and many more. A true visionary and futurist, Tesla raised concerns with the use of fossil fuels. He also dreamed of free and renewable energy. </w:t>
      </w:r>
    </w:p>
    <w:p>
      <w:pPr>
        <w:pStyle w:val="preamble"/>
        <w:rPr/>
      </w:pPr>
      <w:r>
        <w:rPr/>
        <w:t>Nikola Tesla poured all his money and efforts into furthering scientific research, ultimately dying alone and penniless. We use his inventions daily, but often fail to recognize his immense contribution to modern society.</w:t>
      </w:r>
    </w:p>
    <w:p>
      <w:pPr>
        <w:pStyle w:val="preamble"/>
        <w:rPr/>
      </w:pPr>
      <w:r>
        <w:rPr/>
        <w:t>Our world reflects the realized dreams of countless scientists, engineers and people of medicine. As our daily lives have been greatly improved through their visionary work, it is important that we acknowledge their lives. Observing Nikola Tesla Day on July 10, will serve as an inspiration to future generations.</w:t>
      </w:r>
    </w:p>
    <w:p>
      <w:pPr>
        <w:pStyle w:val="preamble"/>
        <w:rPr/>
      </w:pPr>
      <w:r>
        <w:rPr/>
        <w:t>Therefore, Her Majesty, by and with the advice and consent of the Legislative Assembly of the Province of Ontario, enacts as follows:</w:t>
      </w:r>
    </w:p>
    <w:p>
      <w:pPr>
        <w:pStyle w:val="headnote"/>
        <w:rPr/>
      </w:pPr>
      <w:r>
        <w:rPr/>
        <w:t>Nikola Tesla Day</w:t>
      </w:r>
    </w:p>
    <w:p>
      <w:pPr>
        <w:pStyle w:val="section"/>
        <w:rPr/>
      </w:pPr>
      <w:r>
        <w:rPr>
          <w:b/>
        </w:rPr>
        <w:t xml:space="preserve">1 </w:t>
      </w:r>
      <w:r>
        <w:rPr/>
        <w:t>July 10 in each year is proclaimed as Nikola Tesla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n29" TargetMode="External"/><Relationship Id="rId3" Type="http://schemas.openxmlformats.org/officeDocument/2006/relationships/hyperlink" Target="https://www.ontario.ca/laws/statute/s2102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n2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2021-06-11T09:19:00Z</dcterms:created>
  <dc:creator/>
  <dc:description/>
  <cp:keywords/>
  <dc:language>en-CA</dc:language>
  <cp:lastModifiedBy/>
  <dcterms:modified xsi:type="dcterms:W3CDTF">2021-06-15T12:53:00Z</dcterms:modified>
  <cp:revision>4</cp:revision>
  <dc:subject/>
  <dc:title>Nikola Tesla Day Act, 2021, S.O. 2021, c. 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