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Keeping Students in Class Repeal Act, 2022</w:t>
      </w:r>
    </w:p>
    <w:p>
      <w:pPr>
        <w:pStyle w:val="chapter"/>
        <w:rPr>
          <w:color w:val="0000FF"/>
        </w:rPr>
      </w:pPr>
      <w:hyperlink r:id="rId3">
        <w:r>
          <w:rPr>
            <w:rStyle w:val="Hyperlink"/>
            <w:color w:val="0000FF"/>
          </w:rPr>
          <w:t xml:space="preserve">S.o. </w:t>
        </w:r>
        <w:r>
          <w:rPr>
            <w:rStyle w:val="Hyperlink"/>
            <w:smallCaps/>
            <w:color w:val="0000FF"/>
          </w:rPr>
          <w:t>2022</w:t>
        </w:r>
        <w:r>
          <w:rPr>
            <w:rStyle w:val="Hyperlink"/>
            <w:color w:val="0000FF"/>
          </w:rPr>
          <w:t xml:space="preserve">, chapter </w:t>
        </w:r>
        <w:r>
          <w:rPr>
            <w:rStyle w:val="Hyperlink"/>
            <w:smallCaps/>
            <w:color w:val="0000FF"/>
          </w:rPr>
          <w:t>20</w:t>
        </w:r>
      </w:hyperlink>
    </w:p>
    <w:p>
      <w:pPr>
        <w:pStyle w:val="ConsolidationPeriod"/>
        <w:rPr/>
      </w:pPr>
      <w:r>
        <w:rPr>
          <w:b/>
          <w:bCs w:val="false"/>
        </w:rPr>
        <w:t>Consolidation Period:</w:t>
      </w:r>
      <w:r>
        <w:rPr/>
        <w:t xml:space="preserve"> From </w:t>
      </w:r>
      <w:r>
        <w:rPr>
          <w:rFonts w:cs="Times New (W1);Times New Roman" w:ascii="Times New (W1);Times New Roman" w:hAnsi="Times New (W1);Times New Roman"/>
        </w:rPr>
        <w:t>November 14, 2022</w:t>
      </w:r>
      <w:r>
        <w:rPr/>
        <w:t xml:space="preserve"> to the </w:t>
      </w:r>
      <w:hyperlink r:id="rId4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"/>
        <w:rPr/>
      </w:pPr>
      <w:r>
        <w:rPr/>
        <w:t>No amendments.</w:t>
      </w:r>
    </w:p>
    <w:p>
      <w:pPr>
        <w:pStyle w:val="preamble"/>
        <w:rPr/>
      </w:pPr>
      <w:r>
        <w:rPr/>
        <w:t>His Majesty, by and with the advice and consent of the Legislative Assembly of the Province of Ontario, enacts as follows:</w:t>
      </w:r>
    </w:p>
    <w:p>
      <w:pPr>
        <w:pStyle w:val="headnote"/>
        <w:rPr/>
      </w:pPr>
      <w:r>
        <w:rPr/>
        <w:t>Repeal of Act</w:t>
      </w:r>
    </w:p>
    <w:p>
      <w:pPr>
        <w:pStyle w:val="section"/>
        <w:rPr>
          <w:b/>
        </w:rPr>
      </w:pPr>
      <w:r>
        <w:rPr>
          <w:b/>
          <w:bCs/>
        </w:rPr>
        <w:t xml:space="preserve">1 </w:t>
      </w:r>
      <w:r>
        <w:rPr/>
        <w:t xml:space="preserve">The </w:t>
      </w:r>
      <w:r>
        <w:rPr>
          <w:rStyle w:val="ovitalic"/>
        </w:rPr>
        <w:t>Keeping Students in Class Act, 2022</w:t>
      </w:r>
      <w:r>
        <w:rPr/>
        <w:t xml:space="preserve"> is repealed and is deemed for all purposes never to have been in force.</w:t>
      </w:r>
    </w:p>
    <w:p>
      <w:pPr>
        <w:pStyle w:val="headnote"/>
        <w:rPr/>
      </w:pPr>
      <w:r>
        <w:rPr/>
        <w:t>Collective agreements</w:t>
      </w:r>
    </w:p>
    <w:p>
      <w:pPr>
        <w:pStyle w:val="section"/>
        <w:rPr/>
      </w:pPr>
      <w:r>
        <w:rPr>
          <w:b/>
          <w:bCs/>
        </w:rPr>
        <w:t xml:space="preserve">2 </w:t>
      </w:r>
      <w:r>
        <w:rPr/>
        <w:t xml:space="preserve">For greater certainty, the collective agreements that were deemed to be in operation under subsection 5 (1) of the </w:t>
      </w:r>
      <w:r>
        <w:rPr>
          <w:rStyle w:val="ovitalic"/>
        </w:rPr>
        <w:t>Keeping Students in Class Act, 2022</w:t>
      </w:r>
      <w:r>
        <w:rPr/>
        <w:t xml:space="preserve"> are deemed for all purposes never to have come into operation.</w:t>
      </w:r>
    </w:p>
    <w:p>
      <w:pPr>
        <w:pStyle w:val="section"/>
        <w:rPr/>
      </w:pPr>
      <w:r>
        <w:rPr>
          <w:rStyle w:val="ovbold"/>
        </w:rPr>
        <w:t xml:space="preserve">3 </w:t>
      </w:r>
      <w:r>
        <w:rPr>
          <w:rStyle w:val="ovsmallcap"/>
        </w:rPr>
        <w:t>Omitted</w:t>
      </w:r>
      <w:r>
        <w:rPr/>
        <w:t xml:space="preserve"> (</w:t>
      </w:r>
      <w:r>
        <w:rPr>
          <w:rStyle w:val="ovsmallcap"/>
        </w:rPr>
        <w:t>provides for coming into force of provisions of this Act</w:t>
      </w:r>
      <w:r>
        <w:rPr/>
        <w:t>).</w:t>
      </w:r>
    </w:p>
    <w:p>
      <w:pPr>
        <w:pStyle w:val="section"/>
        <w:rPr/>
      </w:pPr>
      <w:r>
        <w:rPr>
          <w:rStyle w:val="ovbold"/>
        </w:rPr>
        <w:t>4</w:t>
      </w:r>
      <w:r>
        <w:rPr>
          <w:b/>
          <w:bCs/>
        </w:rPr>
        <w:t xml:space="preserve"> </w:t>
      </w:r>
      <w:r>
        <w:rPr>
          <w:rStyle w:val="ovsmallcap"/>
        </w:rPr>
        <w:t>Omitted (enacts short title of this Act).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5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6"/>
      <w:type w:val="nextPage"/>
      <w:pgSz w:w="12240" w:h="15840"/>
      <w:pgMar w:left="1195" w:right="965" w:gutter="0" w:header="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Hyperlink">
    <w:name w:val="Hyperlink"/>
    <w:rPr>
      <w:color w:val="000000"/>
      <w:u w:val="non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22k20" TargetMode="External"/><Relationship Id="rId3" Type="http://schemas.openxmlformats.org/officeDocument/2006/relationships/hyperlink" Target="https://www.ontario.ca/laws/statute/s22020" TargetMode="External"/><Relationship Id="rId4" Type="http://schemas.openxmlformats.org/officeDocument/2006/relationships/hyperlink" Target="http://www.e-laws.gov.on.ca/navigation?file=currencyDates&amp;lang=en" TargetMode="External"/><Relationship Id="rId5" Type="http://schemas.openxmlformats.org/officeDocument/2006/relationships/hyperlink" Target="http://www.ontario.ca/fr/lois/loi/22k20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</Template>
  <TotalTime>5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2022-11-15T10:09:00Z</dcterms:created>
  <dc:creator/>
  <dc:description/>
  <cp:keywords/>
  <dc:language>en-CA</dc:language>
  <cp:lastModifiedBy/>
  <dcterms:modified xsi:type="dcterms:W3CDTF">2022-11-16T14:11:00Z</dcterms:modified>
  <cp:revision>4</cp:revision>
  <dc:subject/>
  <dc:title>Keeping Students in Class Repeal Act, 2022, S.O. 2022, c. 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20221114</vt:lpwstr>
  </property>
  <property fmtid="{D5CDD505-2E9C-101B-9397-08002B2CF9AE}" pid="3" name="To Date">
    <vt:lpwstr>Present</vt:lpwstr>
  </property>
</Properties>
</file>