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Barristers Act</w:t>
      </w:r>
    </w:p>
    <w:p>
      <w:pPr>
        <w:pStyle w:val="chapter"/>
        <w:rPr/>
      </w:pPr>
      <w:r>
        <w:rPr/>
        <w:t>R.S.O. 1990, Chapter B.3</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"sched19s2s1"</w:instrText>
      </w:r>
      <w:r>
        <w:rPr>
          <w:rStyle w:val="Hyperlink"/>
        </w:rPr>
        <w:fldChar w:fldCharType="separate"/>
      </w:r>
      <w:r>
        <w:rPr>
          <w:rStyle w:val="Hyperlink"/>
        </w:rPr>
        <w:t>2024, c. 2, Sched. 19, s. 2</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"http://www.ontario.ca/laws/statute/S06021" \l "schedcs99s1"</w:instrText>
      </w:r>
      <w:r>
        <w:rPr>
          <w:rStyle w:val="Hyperlink"/>
        </w:rPr>
        <w:fldChar w:fldCharType="separate"/>
      </w:r>
      <w:r>
        <w:rPr>
          <w:rStyle w:val="Hyperlink"/>
        </w:rPr>
        <w:t>2006, c. 21, Sched. C, s. 99</w:t>
      </w:r>
      <w:r>
        <w:rPr>
          <w:rStyle w:val="Hyperlink"/>
        </w:rPr>
        <w:fldChar w:fldCharType="end"/>
      </w:r>
      <w:r>
        <w:rPr>
          <w:lang w:val="fr-CA"/>
        </w:rPr>
        <w:t xml:space="preserve">; </w:t>
      </w:r>
      <w:r>
        <w:fldChar w:fldCharType="begin"/>
      </w:r>
      <w:r>
        <w:rPr>
          <w:rStyle w:val="Hyperlink"/>
        </w:rPr>
        <w:instrText xml:space="preserve"> HYPERLINK "http://www.ontario.ca/laws/statute/S21004" \l "sched1s1"</w:instrText>
      </w:r>
      <w:r>
        <w:rPr>
          <w:rStyle w:val="Hyperlink"/>
        </w:rPr>
        <w:fldChar w:fldCharType="separate"/>
      </w:r>
      <w:r>
        <w:rPr>
          <w:rStyle w:val="Hyperlink"/>
        </w:rPr>
        <w:t>2021, c. 4, Sched. 1</w:t>
      </w:r>
      <w:r>
        <w:rPr>
          <w:rStyle w:val="Hyperlink"/>
        </w:rPr>
        <w:fldChar w:fldCharType="end"/>
      </w:r>
      <w:r>
        <w:rPr>
          <w:lang w:val="fr-CA"/>
        </w:rPr>
        <w:t xml:space="preserve">; </w:t>
      </w:r>
      <w:r>
        <w:fldChar w:fldCharType="begin"/>
      </w:r>
      <w:r>
        <w:rPr>
          <w:rStyle w:val="Hyperlink"/>
        </w:rPr>
        <w:instrText xml:space="preserve"> HYPERLINK "http://www.ontario.ca/laws/statute/S21034" \l "sched1s1"</w:instrText>
      </w:r>
      <w:r>
        <w:rPr>
          <w:rStyle w:val="Hyperlink"/>
        </w:rPr>
        <w:fldChar w:fldCharType="separate"/>
      </w:r>
      <w:r>
        <w:rPr>
          <w:rStyle w:val="Hyperlink"/>
        </w:rPr>
        <w:t>2021, c. 34, Sched. 1</w:t>
      </w:r>
      <w:r>
        <w:rPr>
          <w:rStyle w:val="Hyperlink"/>
        </w:rPr>
        <w:fldChar w:fldCharType="end"/>
      </w:r>
      <w:r>
        <w:rPr/>
        <w:t xml:space="preserve">; </w:t>
      </w:r>
      <w:r>
        <w:fldChar w:fldCharType="begin"/>
      </w:r>
      <w:r>
        <w:rPr>
          <w:rStyle w:val="Hyperlink"/>
        </w:rPr>
        <w:instrText xml:space="preserve"> HYPERLINK "http://www.ontario.ca/laws/statute/S24002" \l "sched19s2s1"</w:instrText>
      </w:r>
      <w:r>
        <w:rPr>
          <w:rStyle w:val="Hyperlink"/>
        </w:rPr>
        <w:fldChar w:fldCharType="separate"/>
      </w:r>
      <w:r>
        <w:rPr>
          <w:rStyle w:val="Hyperlink"/>
        </w:rPr>
        <w:t>2024, c. 2, Sched. 19, s. 2</w:t>
      </w:r>
      <w:r>
        <w:rPr>
          <w:rStyle w:val="Hyperlink"/>
        </w:rPr>
        <w:fldChar w:fldCharType="end"/>
      </w:r>
      <w:r>
        <w:rPr/>
        <w:t>.</w:t>
      </w:r>
    </w:p>
    <w:p>
      <w:pPr>
        <w:pStyle w:val="headnote"/>
        <w:rPr/>
      </w:pPr>
      <w:r>
        <w:rPr/>
        <w:t>Call of Attorney General or Minister of Justice and Attorney General of Canada</w:t>
      </w:r>
    </w:p>
    <w:p>
      <w:pPr>
        <w:pStyle w:val="section"/>
        <w:rPr/>
      </w:pPr>
      <w:r>
        <w:rPr>
          <w:b/>
        </w:rPr>
        <w:t xml:space="preserve">1 </w:t>
      </w:r>
      <w:r>
        <w:rPr/>
        <w:t xml:space="preserve">A person who is or has been Attorney General for Ontario or Minister of Justice and Attorney General of Canada is entitled to be called to the bar of Ontario without complying with the </w:t>
      </w:r>
      <w:r>
        <w:rPr>
          <w:rStyle w:val="ovitalic"/>
        </w:rPr>
        <w:t>Law Society Act</w:t>
      </w:r>
      <w:r>
        <w:rPr/>
        <w:t xml:space="preserve"> or any of the regulations or rules of the Society as to licensing, examinations, payment of fees or otherwise, and is thereupon entitled to practise at the bar of His Majesty’s courts in Ontario. R.S.O. 1990, c. B.3, s. 1; 2006, c. 21, Sched. C, s. 99 (1); 2021, c. 4, Sched. 1, s. 1; 2024, c. 2, Sched. 19,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"schedcs99s1"</w:instrText>
      </w:r>
      <w:r>
        <w:rPr>
          <w:rStyle w:val="Hyperlink"/>
        </w:rPr>
        <w:fldChar w:fldCharType="separate"/>
      </w:r>
      <w:r>
        <w:rPr>
          <w:rStyle w:val="Hyperlink"/>
        </w:rPr>
        <w:t>2006, c. 21, Sched. C, s. 99 (1)</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"http://www.ontario.ca/laws/statute/S21004" \l "sched1s1"</w:instrText>
      </w:r>
      <w:r>
        <w:rPr>
          <w:rStyle w:val="Hyperlink"/>
        </w:rPr>
        <w:fldChar w:fldCharType="separate"/>
      </w:r>
      <w:r>
        <w:rPr>
          <w:rStyle w:val="Hyperlink"/>
        </w:rPr>
        <w:t>2021, c. 4, Sched. 1, s. 1</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"http://www.ontario.ca/laws/statute/S24002" \l "sched19s2s1"</w:instrText>
      </w:r>
      <w:r>
        <w:rPr>
          <w:rStyle w:val="Hyperlink"/>
        </w:rPr>
        <w:fldChar w:fldCharType="separate"/>
      </w:r>
      <w:r>
        <w:rPr>
          <w:rStyle w:val="Hyperlink"/>
        </w:rPr>
        <w:t>2024, c. 2, Sched. 19, s. 2 (1)</w:t>
      </w:r>
      <w:r>
        <w:rPr>
          <w:rStyle w:val="Hyperlink"/>
        </w:rPr>
        <w:fldChar w:fldCharType="end"/>
      </w:r>
      <w:r>
        <w:rPr/>
        <w:t xml:space="preserve"> - 06/03/2024</w:t>
      </w:r>
    </w:p>
    <w:p>
      <w:pPr>
        <w:pStyle w:val="headnote"/>
        <w:rPr/>
      </w:pPr>
      <w:r>
        <w:rPr/>
        <w:t>King’s Counsel</w:t>
      </w:r>
    </w:p>
    <w:p>
      <w:pPr>
        <w:pStyle w:val="section"/>
        <w:rPr/>
      </w:pPr>
      <w:r>
        <w:rPr>
          <w:b/>
        </w:rPr>
        <w:t xml:space="preserve">2 </w:t>
      </w:r>
      <w:r>
        <w:rPr/>
        <w:t>(1)  The Lieutenant Governor, by letters patent under the Great Seal, may appoint from the members of the bar of Ontario such persons as he or she considers proper to be, during pleasure, provincial officers under the name of “His Majesty’s counsel learned in the law” for Ontario. R.S.O. 1990, c. B.3, s. 2 (1); 2024, c. 2, Sched. 19, s. 2 (2).</w:t>
      </w:r>
    </w:p>
    <w:p>
      <w:pPr>
        <w:pStyle w:val="headnote"/>
        <w:rPr/>
      </w:pPr>
      <w:r>
        <w:rPr/>
        <w:t>Licence revocation revokes K.C. appointment</w:t>
      </w:r>
    </w:p>
    <w:p>
      <w:pPr>
        <w:pStyle w:val="subsection"/>
        <w:rPr/>
      </w:pPr>
      <w:r>
        <w:rPr/>
        <w:t xml:space="preserve">(2)  If a barrister holds an appointment as a King’s counsel for Ontario, the revocation of his or her licence under the </w:t>
      </w:r>
      <w:r>
        <w:rPr>
          <w:rStyle w:val="ovitalic"/>
        </w:rPr>
        <w:t>Law Society Act</w:t>
      </w:r>
      <w:r>
        <w:rPr/>
        <w:t xml:space="preserve"> has the effect of revoking the appointment. 2006, c. 21, Sched. C, s. 99 (2); 2024, c. 2, Sched. 19, s. 2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"schedcs99s2"</w:instrText>
      </w:r>
      <w:r>
        <w:rPr>
          <w:rStyle w:val="Hyperlink"/>
        </w:rPr>
        <w:fldChar w:fldCharType="separate"/>
      </w:r>
      <w:r>
        <w:rPr>
          <w:rStyle w:val="Hyperlink"/>
        </w:rPr>
        <w:t>2006, c. 21, Sched. C, s. 99 (2)</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"http://www.ontario.ca/laws/statute/S24002" \l "sched19s2s2"</w:instrText>
      </w:r>
      <w:r>
        <w:rPr>
          <w:rStyle w:val="Hyperlink"/>
        </w:rPr>
        <w:fldChar w:fldCharType="separate"/>
      </w:r>
      <w:r>
        <w:rPr>
          <w:rStyle w:val="Hyperlink"/>
        </w:rPr>
        <w:t>2024, c. 2, Sched. 19, s. 2 (2, 3)</w:t>
      </w:r>
      <w:r>
        <w:rPr>
          <w:rStyle w:val="Hyperlink"/>
        </w:rPr>
        <w:fldChar w:fldCharType="end"/>
      </w:r>
      <w:r>
        <w:rPr/>
        <w:t xml:space="preserve"> - 06/03/2024</w:t>
      </w:r>
    </w:p>
    <w:p>
      <w:pPr>
        <w:pStyle w:val="section"/>
        <w:rPr/>
      </w:pPr>
      <w:r>
        <w:rPr>
          <w:b/>
        </w:rPr>
        <w:t xml:space="preserve">3 </w:t>
      </w:r>
      <w:r>
        <w:rPr>
          <w:rStyle w:val="ovsmallcap"/>
        </w:rPr>
        <w:t>Repealed</w:t>
      </w:r>
      <w:r>
        <w:rPr/>
        <w:t>: 2021, c. 34, Sched. 1,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"http://www.ontario.ca/laws/statute/S21034" \l "sched1s1"</w:instrText>
      </w:r>
      <w:r>
        <w:rPr>
          <w:rStyle w:val="Hyperlink"/>
        </w:rPr>
        <w:fldChar w:fldCharType="separate"/>
      </w:r>
      <w:r>
        <w:rPr>
          <w:rStyle w:val="Hyperlink"/>
        </w:rPr>
        <w:t>2021, c. 34, Sched. 1, s. 1</w:t>
      </w:r>
      <w:r>
        <w:rPr>
          <w:rStyle w:val="Hyperlink"/>
        </w:rPr>
        <w:fldChar w:fldCharType="end"/>
      </w:r>
      <w:r>
        <w:rPr/>
        <w:t xml:space="preserve"> - 02/12/2021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ableofFigures">
    <w:name w:val="Table of Figures"/>
    <w:basedOn w:val="Normal"/>
    <w:next w:val="Normal"/>
    <w:qFormat/>
    <w:pPr>
      <w:ind w:hanging="400" w:start="4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0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2001-02-22T15:20:00Z</dcterms:created>
  <dc:creator/>
  <dc:description/>
  <cp:keywords/>
  <dc:language>en-CA</dc:language>
  <cp:lastModifiedBy/>
  <cp:lastPrinted>2017-03-20T15:43:00Z</cp:lastPrinted>
  <dcterms:modified xsi:type="dcterms:W3CDTF">2024-03-14T14:49:00Z</dcterms:modified>
  <cp:revision>91</cp:revision>
  <dc:subject/>
  <dc:title>Barristers Act, R.S.O. 1990, c. B.3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281d3802-1497-4b57-9e4c-9d382b7d410f</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2022-01-12T15:51:44Z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