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Agency Act</w:t>
      </w:r>
    </w:p>
    <w:p>
      <w:pPr>
        <w:pStyle w:val="chapter"/>
        <w:rPr/>
      </w:pPr>
      <w:r>
        <w:rPr/>
        <w:t>R.S.O. 1990, Chapter C.48</w:t>
      </w:r>
    </w:p>
    <w:p>
      <w:pPr>
        <w:pStyle w:val="ConsolidationPeriod"/>
        <w:rPr/>
      </w:pPr>
      <w:r>
        <w:rPr>
          <w:b/>
          <w:bCs w:val="false"/>
        </w:rPr>
        <w:t>Consolidation Period:</w:t>
      </w:r>
      <w:r>
        <w:rPr/>
        <w:t xml:space="preserve"> From April 1, 1999 to the </w:t>
      </w:r>
      <w:hyperlink r:id="rId3">
        <w:r>
          <w:rPr>
            <w:rStyle w:val="Hyperlink"/>
          </w:rPr>
          <w:t>e-Laws currency date</w:t>
        </w:r>
      </w:hyperlink>
      <w:r>
        <w:rPr/>
        <w:t>.</w:t>
      </w:r>
    </w:p>
    <w:p>
      <w:pPr>
        <w:pStyle w:val="comment"/>
        <w:rPr/>
      </w:pPr>
      <w:r>
        <w:rPr/>
        <w:t>Last amendment: 1998, c.15, Sched. E, s.8.</w:t>
      </w:r>
    </w:p>
    <w:p>
      <w:pPr>
        <w:pStyle w:val="footnoteLeft"/>
        <w:rPr>
          <w:lang w:val="fr-CA"/>
        </w:rPr>
      </w:pPr>
      <w:r>
        <w:rPr/>
        <w:t>Legislative History: 1998, c. 15, Sched. E, s. 8.</w:t>
      </w:r>
    </w:p>
    <w:p>
      <w:pPr>
        <w:pStyle w:val="headnote"/>
        <w:rPr/>
      </w:pPr>
      <w:r>
        <w:rPr/>
        <w:t>Definition</w:t>
      </w:r>
    </w:p>
    <w:p>
      <w:pPr>
        <w:pStyle w:val="section"/>
        <w:rPr/>
      </w:pPr>
      <w:r>
        <w:rPr>
          <w:b/>
        </w:rPr>
        <w:t xml:space="preserve">1 </w:t>
      </w:r>
      <w:r>
        <w:rPr/>
        <w:t>In this Act,</w:t>
      </w:r>
    </w:p>
    <w:p>
      <w:pPr>
        <w:pStyle w:val="definition"/>
        <w:rPr/>
      </w:pPr>
      <w:r>
        <w:rPr/>
        <w:t>“</w:t>
      </w:r>
      <w:r>
        <w:rPr/>
        <w:t>Crown agency” means a board, commission, railway, public utility, university, manufactory, company or agency, owned, controlled or operated by Her Majesty in right of Ontario, or by the Government of Ontario, or under the authority of the Legislature or the Lieutenant Governor in Council.  R.S.O. 1990, c. C.48, s. 1.</w:t>
      </w:r>
    </w:p>
    <w:p>
      <w:pPr>
        <w:pStyle w:val="headnote"/>
        <w:rPr/>
      </w:pPr>
      <w:r>
        <w:rPr/>
        <w:t>Status of Crown agency</w:t>
      </w:r>
    </w:p>
    <w:p>
      <w:pPr>
        <w:pStyle w:val="section"/>
        <w:rPr/>
      </w:pPr>
      <w:r>
        <w:rPr>
          <w:b/>
        </w:rPr>
        <w:t xml:space="preserve">2 </w:t>
      </w:r>
      <w:r>
        <w:rPr/>
        <w:t>A Crown agency is for all its purposes an agent of Her Majesty and its powers may be exercised only as an agent of Her Majesty.  R.S.O. 1990, c. C.48, s. 2.</w:t>
      </w:r>
    </w:p>
    <w:p>
      <w:pPr>
        <w:pStyle w:val="section"/>
        <w:rPr/>
      </w:pPr>
      <w:r>
        <w:rPr>
          <w:b/>
        </w:rPr>
        <w:t xml:space="preserve">3 </w:t>
      </w:r>
      <w:r>
        <w:rPr>
          <w:smallCaps/>
        </w:rPr>
        <w:t>Repealed</w:t>
      </w:r>
      <w:r>
        <w:rPr/>
        <w:t>:  1998, c. 15, Sched. E, s. 8.</w:t>
      </w:r>
    </w:p>
    <w:p>
      <w:pPr>
        <w:pStyle w:val="footnoteLeft"/>
        <w:jc w:val="start"/>
        <w:rPr>
          <w:b/>
        </w:rPr>
      </w:pPr>
      <w:r>
        <w:rPr>
          <w:b/>
        </w:rPr>
        <w:t>Section Amendments with date in force (d/m/y)</w:t>
      </w:r>
    </w:p>
    <w:p>
      <w:pPr>
        <w:pStyle w:val="footnoteLeft"/>
        <w:jc w:val="start"/>
        <w:rPr/>
      </w:pPr>
      <w:r>
        <w:rPr/>
        <w:t>1998, c. 15, Sched. E, s. 8 - 01/04/1999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4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4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8</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2000-07-12T17:26:00Z</dcterms:created>
  <dc:creator/>
  <dc:description/>
  <cp:keywords/>
  <dc:language>en-CA</dc:language>
  <cp:lastModifiedBy/>
  <dcterms:modified xsi:type="dcterms:W3CDTF">2017-05-09T09:55:00Z</dcterms:modified>
  <cp:revision>20</cp:revision>
  <dc:subject/>
  <dc:title>Crown Agency Act, R.S.O. 1990, c. C.48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19990401</vt:lpwstr>
  </property>
  <property fmtid="{D5CDD505-2E9C-101B-9397-08002B2CF9AE}" pid="3" name="To Date">
    <vt:lpwstr>Present</vt:lpwstr>
  </property>
</Properties>
</file>