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Homes for Special Care Act</w:t>
      </w:r>
    </w:p>
    <w:p>
      <w:pPr>
        <w:pStyle w:val="chapter"/>
        <w:rPr/>
      </w:pPr>
      <w:r>
        <w:rPr/>
        <w:t>R.S.O. 1990, Chapter H.12</w:t>
      </w:r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 From June 22, 2006 to the </w:t>
      </w:r>
      <w:hyperlink r:id="rId3">
        <w:r>
          <w:rPr>
            <w:rStyle w:val="Hyperlink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 xml:space="preserve">Last amendment:  </w:t>
      </w:r>
      <w:r>
        <w:fldChar w:fldCharType="begin"/>
      </w:r>
      <w:r>
        <w:rPr>
          <w:rStyle w:val="Hyperlink"/>
        </w:rPr>
        <w:instrText xml:space="preserve"> HYPERLINK "http://www.ontario.ca/laws/statute/S06019" \l "schedls11s2"</w:instrText>
      </w:r>
      <w:r>
        <w:rPr>
          <w:rStyle w:val="Hyperlink"/>
        </w:rPr>
        <w:fldChar w:fldCharType="separate"/>
      </w:r>
      <w:r>
        <w:rPr>
          <w:rStyle w:val="Hyperlink"/>
        </w:rPr>
        <w:t>2006, c. 19, Sched. L, s. 11 (2)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/>
      </w:pPr>
      <w:r>
        <w:rPr/>
        <w:t xml:space="preserve">Legislative History: 1997, c. 15, s. 7; </w:t>
      </w:r>
      <w:r>
        <w:fldChar w:fldCharType="begin"/>
      </w:r>
      <w:r>
        <w:rPr>
          <w:rStyle w:val="Hyperlink"/>
        </w:rPr>
        <w:instrText xml:space="preserve"> HYPERLINK "http://www.ontario.ca/laws/statute/S06019" \l "schedls11s2"</w:instrText>
      </w:r>
      <w:r>
        <w:rPr>
          <w:rStyle w:val="Hyperlink"/>
        </w:rPr>
        <w:fldChar w:fldCharType="separate"/>
      </w:r>
      <w:r>
        <w:rPr>
          <w:rStyle w:val="Hyperlink"/>
        </w:rPr>
        <w:t>2006, c. 19, Sched. L, s. 11 (2)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note"/>
        <w:rPr/>
      </w:pPr>
      <w:r>
        <w:rPr/>
        <w:t>Definitions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In this Act,</w:t>
      </w:r>
    </w:p>
    <w:p>
      <w:pPr>
        <w:pStyle w:val="definition"/>
        <w:rPr/>
      </w:pPr>
      <w:r>
        <w:rPr/>
        <w:t>“</w:t>
      </w:r>
      <w:r>
        <w:rPr/>
        <w:t>home for special care” means a home for the care of persons requiring nursing, residential or sheltered care; (“foyer de soins spéciaux”)</w:t>
      </w:r>
    </w:p>
    <w:p>
      <w:pPr>
        <w:pStyle w:val="definition"/>
        <w:rPr/>
      </w:pPr>
      <w:r>
        <w:rPr/>
        <w:t>“</w:t>
      </w:r>
      <w:r>
        <w:rPr/>
        <w:t>Minister” means the Minister of Health and Long-Term Care; (“ministre”)</w:t>
      </w:r>
    </w:p>
    <w:p>
      <w:pPr>
        <w:pStyle w:val="definition"/>
        <w:rPr/>
      </w:pPr>
      <w:r>
        <w:rPr/>
        <w:t>“</w:t>
      </w:r>
      <w:r>
        <w:rPr/>
        <w:t>regulations” means the regulations made under this Act; (“règlements”)</w:t>
      </w:r>
    </w:p>
    <w:p>
      <w:pPr>
        <w:pStyle w:val="definition"/>
        <w:rPr/>
      </w:pPr>
      <w:r>
        <w:rPr/>
        <w:t>“</w:t>
      </w:r>
      <w:r>
        <w:rPr/>
        <w:t>resident” means a person received and lodged in a home for special care under this Act. (“pensionnaire”)  R.S.O. 1990, c. H.12, s. 1</w:t>
      </w:r>
      <w:r>
        <w:rPr>
          <w:lang w:val="en-US"/>
        </w:rPr>
        <w:t>; 2006, c. 19, Sched. L, s. 11 (2)</w:t>
      </w:r>
      <w:r>
        <w:rPr/>
        <w:t>.</w:t>
      </w:r>
    </w:p>
    <w:p>
      <w:pPr>
        <w:pStyle w:val="footnoteLeft"/>
        <w:jc w:val="star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"http://www.ontario.ca/laws/statute/S06019" \l "schedls11s2"</w:instrText>
      </w:r>
      <w:r>
        <w:rPr>
          <w:rStyle w:val="Hyperlink"/>
        </w:rPr>
        <w:fldChar w:fldCharType="separate"/>
      </w:r>
      <w:r>
        <w:rPr>
          <w:rStyle w:val="Hyperlink"/>
        </w:rPr>
        <w:t>2006, c. 19, Sched. L, s. 11 (2)</w:t>
      </w:r>
      <w:r>
        <w:rPr>
          <w:rStyle w:val="Hyperlink"/>
        </w:rPr>
        <w:fldChar w:fldCharType="end"/>
      </w:r>
      <w:r>
        <w:rPr/>
        <w:t xml:space="preserve"> - 22/06/2006</w:t>
      </w:r>
    </w:p>
    <w:p>
      <w:pPr>
        <w:pStyle w:val="headnote"/>
        <w:rPr/>
      </w:pPr>
      <w:r>
        <w:rPr/>
        <w:t>Administration</w:t>
      </w:r>
    </w:p>
    <w:p>
      <w:pPr>
        <w:pStyle w:val="section"/>
        <w:rPr/>
      </w:pPr>
      <w:r>
        <w:rPr>
          <w:b/>
        </w:rPr>
        <w:t xml:space="preserve">2 </w:t>
      </w:r>
      <w:r>
        <w:rPr/>
        <w:t>The Minister is responsible for the administration of this Act.  R.S.O. 1990, c. H.12, s. 2.</w:t>
      </w:r>
    </w:p>
    <w:p>
      <w:pPr>
        <w:pStyle w:val="section"/>
        <w:rPr/>
      </w:pPr>
      <w:r>
        <w:rPr>
          <w:b/>
        </w:rPr>
        <w:t xml:space="preserve">3, 4 </w:t>
      </w:r>
      <w:r>
        <w:rPr>
          <w:rStyle w:val="ovsmallcap"/>
        </w:rPr>
        <w:t>Repealed</w:t>
      </w:r>
      <w:r>
        <w:rPr/>
        <w:t>:  1997, c. 15, s. 7 (1).</w:t>
      </w:r>
    </w:p>
    <w:p>
      <w:pPr>
        <w:pStyle w:val="footnoteLeft"/>
        <w:jc w:val="star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rPr/>
        <w:t>1997, c. 15, s. 7 (1) - 10/10/1997</w:t>
      </w:r>
    </w:p>
    <w:p>
      <w:pPr>
        <w:pStyle w:val="headnote"/>
        <w:rPr/>
      </w:pPr>
      <w:r>
        <w:rPr/>
        <w:t>Licensing of homes</w:t>
      </w:r>
    </w:p>
    <w:p>
      <w:pPr>
        <w:pStyle w:val="section"/>
        <w:rPr/>
      </w:pPr>
      <w:r>
        <w:rPr>
          <w:b/>
        </w:rPr>
        <w:t xml:space="preserve">5 </w:t>
      </w:r>
      <w:r>
        <w:rPr/>
        <w:t>(1)  The Minister may license homes for special care and may renew or cancel the licences on such terms and conditions as the regulations prescribe.  1997, c. 15, s. 7 (2).</w:t>
      </w:r>
    </w:p>
    <w:p>
      <w:pPr>
        <w:pStyle w:val="headnote"/>
        <w:rPr/>
      </w:pPr>
      <w:r>
        <w:rPr/>
        <w:t>Fees</w:t>
      </w:r>
    </w:p>
    <w:p>
      <w:pPr>
        <w:pStyle w:val="subsection"/>
        <w:rPr/>
      </w:pPr>
      <w:r>
        <w:rPr/>
        <w:t>(2)  The Minister may establish and charge fees for the issue and renewal of licences under this section.  1997, c. 15, s. 7 (2).</w:t>
      </w:r>
    </w:p>
    <w:p>
      <w:pPr>
        <w:pStyle w:val="headnote"/>
        <w:rPr/>
      </w:pPr>
      <w:r>
        <w:rPr/>
        <w:t>Payments for care and maintenance</w:t>
      </w:r>
    </w:p>
    <w:p>
      <w:pPr>
        <w:pStyle w:val="subsection"/>
        <w:rPr/>
      </w:pPr>
      <w:r>
        <w:rPr/>
        <w:t>(3)  The Minister may pay such amounts for the care and maintenance of residents in homes licensed under this section as are prescribed by the regulations.  R.S.O. 1990, c. H.12, s. 5 (3).</w:t>
      </w:r>
    </w:p>
    <w:p>
      <w:pPr>
        <w:pStyle w:val="footnoteLeft"/>
        <w:jc w:val="star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rPr/>
        <w:t>1997, c. 15, s. 7 (2) - 10/10/1997</w:t>
      </w:r>
    </w:p>
    <w:p>
      <w:pPr>
        <w:pStyle w:val="headnote"/>
        <w:rPr/>
      </w:pPr>
      <w:r>
        <w:rPr>
          <w:i/>
        </w:rPr>
        <w:t>Mental Health Act</w:t>
      </w:r>
      <w:r>
        <w:rPr/>
        <w:t xml:space="preserve"> may apply</w:t>
      </w:r>
    </w:p>
    <w:p>
      <w:pPr>
        <w:pStyle w:val="section"/>
        <w:rPr/>
      </w:pPr>
      <w:r>
        <w:rPr>
          <w:b/>
        </w:rPr>
        <w:t xml:space="preserve">6 </w:t>
      </w:r>
      <w:r>
        <w:rPr/>
        <w:t xml:space="preserve">The Lieutenant Governor in Council may designate any provision of the </w:t>
      </w:r>
      <w:r>
        <w:rPr>
          <w:rStyle w:val="ovitalic"/>
        </w:rPr>
        <w:t>Mental Health Act</w:t>
      </w:r>
      <w:r>
        <w:rPr/>
        <w:t xml:space="preserve"> or of the regulations thereunder as being applicable to any home for special care.  R.S.O. 1990, c. H.12, s. 6.</w:t>
      </w:r>
    </w:p>
    <w:p>
      <w:pPr>
        <w:pStyle w:val="headnote"/>
        <w:rPr/>
      </w:pPr>
      <w:r>
        <w:rPr/>
        <w:t>Regulations</w:t>
      </w:r>
    </w:p>
    <w:p>
      <w:pPr>
        <w:pStyle w:val="section"/>
        <w:rPr/>
      </w:pPr>
      <w:r>
        <w:rPr>
          <w:b/>
        </w:rPr>
        <w:t xml:space="preserve">7 </w:t>
      </w:r>
      <w:r>
        <w:rPr/>
        <w:t>The Lieutenant Governor in Council may make regulations with respect to homes for special care for,</w:t>
      </w:r>
    </w:p>
    <w:p>
      <w:pPr>
        <w:pStyle w:val="paragraph"/>
        <w:rPr/>
      </w:pPr>
      <w:r>
        <w:rPr/>
        <w:tab/>
        <w:t>(a)</w:t>
        <w:tab/>
        <w:t>their construction, location, alteration, equipment, safety, maintenance and repair;</w:t>
      </w:r>
    </w:p>
    <w:p>
      <w:pPr>
        <w:pStyle w:val="paragraph"/>
        <w:rPr/>
      </w:pPr>
      <w:r>
        <w:rPr/>
        <w:tab/>
        <w:t>(b)</w:t>
        <w:tab/>
        <w:t>their inspection, control, government, management, conduct, operation and use;</w:t>
      </w:r>
    </w:p>
    <w:p>
      <w:pPr>
        <w:pStyle w:val="paragraph"/>
        <w:rPr/>
      </w:pPr>
      <w:r>
        <w:rPr/>
        <w:tab/>
        <w:t>(c)</w:t>
        <w:tab/>
        <w:t>their administrators and other officers and staffs and the powers and duties thereof;</w:t>
      </w:r>
    </w:p>
    <w:p>
      <w:pPr>
        <w:pStyle w:val="paragraph"/>
        <w:rPr/>
      </w:pPr>
      <w:r>
        <w:rPr/>
        <w:tab/>
        <w:t>(d)</w:t>
        <w:tab/>
        <w:t>their classifications, grades and standards, and the classification of residents, and regulating and prescribing the rates and charges for residents, and prescribing the liability therefor;</w:t>
      </w:r>
    </w:p>
    <w:p>
      <w:pPr>
        <w:pStyle w:val="paragraph"/>
        <w:rPr/>
      </w:pPr>
      <w:r>
        <w:rPr/>
        <w:tab/>
        <w:t>(e)</w:t>
        <w:tab/>
        <w:t>the admission, treatment, care, conduct, control, custody and discharge of residents or of any class of residents;</w:t>
      </w:r>
    </w:p>
    <w:p>
      <w:pPr>
        <w:pStyle w:val="paragraph"/>
        <w:rPr/>
      </w:pPr>
      <w:r>
        <w:rPr/>
        <w:tab/>
        <w:t>(f)</w:t>
        <w:tab/>
      </w:r>
      <w:r>
        <w:rPr>
          <w:rStyle w:val="ovsmallcap"/>
        </w:rPr>
        <w:t>Repealed</w:t>
      </w:r>
      <w:r>
        <w:rPr/>
        <w:t>:  1997, c. 15, s. 7 (3).</w:t>
      </w:r>
    </w:p>
    <w:p>
      <w:pPr>
        <w:pStyle w:val="paragraph"/>
        <w:rPr/>
      </w:pPr>
      <w:r>
        <w:rPr/>
        <w:tab/>
        <w:t>(g)</w:t>
        <w:tab/>
        <w:t>providing for the licensing of homes for special care under section 5 and the renewal and cancellation of the licences;</w:t>
      </w:r>
    </w:p>
    <w:p>
      <w:pPr>
        <w:pStyle w:val="paragraph"/>
        <w:rPr/>
      </w:pPr>
      <w:r>
        <w:rPr/>
        <w:tab/>
        <w:t>(h)</w:t>
        <w:tab/>
        <w:t>prescribing the amounts to be paid by the Minister for the care and maintenance of residents in homes for special care licensed under section 5;</w:t>
      </w:r>
    </w:p>
    <w:p>
      <w:pPr>
        <w:pStyle w:val="paragraph"/>
        <w:rPr/>
      </w:pPr>
      <w:r>
        <w:rPr/>
        <w:tab/>
        <w:t>(i)</w:t>
        <w:tab/>
        <w:t>any matter necessary or advisable to carry out effectively the intent and purpose of this Act.  R.S.O. 1990, c. H.12, s. 7; 1997, c. 15, s. 7 (3, 4).</w:t>
      </w:r>
    </w:p>
    <w:p>
      <w:pPr>
        <w:pStyle w:val="footnoteLeft"/>
        <w:jc w:val="start"/>
        <w:rPr>
          <w:b/>
        </w:rPr>
      </w:pPr>
      <w:r>
        <w:rPr>
          <w:b/>
        </w:rPr>
        <w:t>Section Amendments with date in force (d/m/y)</w:t>
      </w:r>
    </w:p>
    <w:p>
      <w:pPr>
        <w:pStyle w:val="footnoteLeft"/>
        <w:rPr/>
      </w:pPr>
      <w:r>
        <w:rPr/>
        <w:t>1997, c. 15, s. 7 (3, 4) - 10/10/1997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footerReference w:type="first" r:id="rId6"/>
      <w:type w:val="nextPage"/>
      <w:pgSz w:w="12240" w:h="15840"/>
      <w:pgMar w:left="1200" w:right="960" w:gutter="0" w:header="0" w:top="1680" w:footer="720" w:bottom="168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GB"/>
      </w:rPr>
    </w:pPr>
    <w:r>
      <w:rPr>
        <w:lang w:val="en-GB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non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IntenseQuoteChar">
    <w:name w:val="Intense Quote Char"/>
    <w:qFormat/>
    <w:rPr>
      <w:b/>
      <w:bCs/>
      <w:i/>
      <w:iCs/>
      <w:color w:val="4F81BD"/>
      <w:lang w:val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QuoteChar">
    <w:name w:val="Quote Char"/>
    <w:qFormat/>
    <w:rPr>
      <w:i/>
      <w:iCs/>
      <w:color w:val="000000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clause">
    <w:name w:val="claus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-mailSignature">
    <w:name w:val="E-mail Signature"/>
    <w:basedOn w:val="Normal"/>
    <w:qFormat/>
    <w:pPr/>
    <w:rPr/>
  </w:style>
  <w:style w:type="paragraph" w:styleId="firstdef">
    <w:name w:val="firstdef"/>
    <w:basedOn w:val="definition"/>
    <w:qFormat/>
    <w:pPr/>
    <w:rPr/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subsection">
    <w:name w:val="subsection"/>
    <w:basedOn w:val="section"/>
    <w:qFormat/>
    <w:pPr/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CommentText">
    <w:name w:val="Comment Text"/>
    <w:basedOn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next w:val="Normal"/>
    <w:qFormat/>
    <w:pPr/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90h12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90h12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13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2003-12-03T10:35:00Z</dcterms:created>
  <dc:creator/>
  <dc:description/>
  <cp:keywords/>
  <dc:language>en-CA</dc:language>
  <cp:lastModifiedBy/>
  <cp:lastPrinted>2006-07-14T16:14:00Z</cp:lastPrinted>
  <dcterms:modified xsi:type="dcterms:W3CDTF">2017-07-07T13:10:00Z</dcterms:modified>
  <cp:revision>16</cp:revision>
  <dc:subject/>
  <dc:title>Homes for Special Care Act, R.S.O. 1990, c. H.12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20060622</vt:lpwstr>
  </property>
  <property fmtid="{D5CDD505-2E9C-101B-9397-08002B2CF9AE}" pid="3" name="To Date">
    <vt:lpwstr>Present</vt:lpwstr>
  </property>
</Properties>
</file>