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University Health Network Act, 1997</w:t>
      </w:r>
    </w:p>
    <w:p>
      <w:pPr>
        <w:pStyle w:val="chapter"/>
        <w:rPr/>
      </w:pPr>
      <w:r>
        <w:rPr/>
        <w:t>S.O. 1997, CHAPTER 45</w:t>
      </w:r>
    </w:p>
    <w:p>
      <w:pPr>
        <w:pStyle w:val="ConsolidationPeriod"/>
        <w:rPr/>
      </w:pPr>
      <w:r>
        <w:rPr>
          <w:b/>
          <w:bCs w:val="false"/>
        </w:rPr>
        <w:t>Consolidation Period:</w:t>
      </w:r>
      <w:r>
        <w:rPr/>
        <w:t xml:space="preserve"> From December 15, 2009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"http://www.ontario.ca/laws/statute/S09033" \l "sched18s34s1"</w:instrText>
      </w:r>
      <w:r>
        <w:rPr>
          <w:rStyle w:val="Hyperlink"/>
        </w:rPr>
        <w:fldChar w:fldCharType="separate"/>
      </w:r>
      <w:r>
        <w:rPr>
          <w:rStyle w:val="Hyperlink"/>
        </w:rPr>
        <w:t>2009, c. 33, Sched. 18, s. 34</w:t>
      </w:r>
      <w:r>
        <w:rPr>
          <w:rStyle w:val="Hyperlink"/>
        </w:rPr>
        <w:fldChar w:fldCharType="end"/>
      </w:r>
      <w:r>
        <w:rPr/>
        <w:t>.</w:t>
      </w:r>
    </w:p>
    <w:p>
      <w:pPr>
        <w:pStyle w:val="footnoteLeft"/>
        <w:rPr>
          <w:lang w:val="fr-CA"/>
        </w:rPr>
      </w:pPr>
      <w:r>
        <w:rPr/>
        <w:t xml:space="preserve">Legislative History: 1999, c. 6, s. 63; </w:t>
      </w:r>
      <w:r>
        <w:fldChar w:fldCharType="begin"/>
      </w:r>
      <w:r>
        <w:rPr>
          <w:rStyle w:val="Hyperlink"/>
        </w:rPr>
        <w:instrText xml:space="preserve"> HYPERLINK "http://www.ontario.ca/laws/statute/S02018" \l "schedis19s1"</w:instrText>
      </w:r>
      <w:r>
        <w:rPr>
          <w:rStyle w:val="Hyperlink"/>
        </w:rPr>
        <w:fldChar w:fldCharType="separate"/>
      </w:r>
      <w:r>
        <w:rPr>
          <w:rStyle w:val="Hyperlink"/>
        </w:rPr>
        <w:t>2002, c. 18, Sched. I, s. 19</w:t>
      </w:r>
      <w:r>
        <w:rPr>
          <w:rStyle w:val="Hyperlink"/>
        </w:rPr>
        <w:fldChar w:fldCharType="end"/>
      </w:r>
      <w:r>
        <w:rPr/>
        <w:t xml:space="preserve">; </w:t>
      </w:r>
      <w:r>
        <w:fldChar w:fldCharType="begin"/>
      </w:r>
      <w:r>
        <w:rPr>
          <w:rStyle w:val="Hyperlink"/>
        </w:rPr>
        <w:instrText xml:space="preserve"> HYPERLINK "http://www.ontario.ca/laws/statute/S09033" \l "sched18s34s1"</w:instrText>
      </w:r>
      <w:r>
        <w:rPr>
          <w:rStyle w:val="Hyperlink"/>
        </w:rPr>
        <w:fldChar w:fldCharType="separate"/>
      </w:r>
      <w:r>
        <w:rPr>
          <w:rStyle w:val="Hyperlink"/>
        </w:rPr>
        <w:t>2009, c. 33, Sched. 18, s. 34</w:t>
      </w:r>
      <w:r>
        <w:rPr>
          <w:rStyle w:val="Hyperlink"/>
        </w:rPr>
        <w:fldChar w:fldCharType="end"/>
      </w:r>
      <w:r>
        <w:rPr/>
        <w:t>.</w:t>
      </w:r>
    </w:p>
    <w:p>
      <w:pPr>
        <w:pStyle w:val="headnote"/>
        <w:rPr/>
      </w:pPr>
      <w:r>
        <w:rPr/>
        <w:t>Definition</w:t>
      </w:r>
    </w:p>
    <w:p>
      <w:pPr>
        <w:pStyle w:val="section"/>
        <w:rPr/>
      </w:pPr>
      <w:r>
        <w:rPr>
          <w:b/>
        </w:rPr>
        <w:t xml:space="preserve">1 </w:t>
      </w:r>
      <w:r>
        <w:rPr/>
        <w:t>In this Act,</w:t>
      </w:r>
    </w:p>
    <w:p>
      <w:pPr>
        <w:pStyle w:val="definition"/>
        <w:rPr/>
      </w:pPr>
      <w:r>
        <w:rPr/>
        <w:t>“</w:t>
      </w:r>
      <w:r>
        <w:rPr/>
        <w:t>corporation” means the corporation continued by subsection 2 (1).  1997, c. 45, s. 1; 2002, c. 18, Sched. I, s. 19 (2); 2009, c. 33, Sched. 18, s. 34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"http://www.ontario.ca/laws/statute/S02018" \l "schedis19s2"</w:instrText>
      </w:r>
      <w:r>
        <w:rPr>
          <w:rStyle w:val="Hyperlink"/>
        </w:rPr>
        <w:fldChar w:fldCharType="separate"/>
      </w:r>
      <w:r>
        <w:rPr>
          <w:rStyle w:val="Hyperlink"/>
        </w:rPr>
        <w:t>2002, c. 18, Sched. I, s. 19 (2)</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"http://www.ontario.ca/laws/statute/S09033" \l "sched18s34s1"</w:instrText>
      </w:r>
      <w:r>
        <w:rPr>
          <w:rStyle w:val="Hyperlink"/>
        </w:rPr>
        <w:fldChar w:fldCharType="separate"/>
      </w:r>
      <w:r>
        <w:rPr>
          <w:rStyle w:val="Hyperlink"/>
        </w:rPr>
        <w:t>2009, c. 33, Sched. 18, s. 34 (1)</w:t>
      </w:r>
      <w:r>
        <w:rPr>
          <w:rStyle w:val="Hyperlink"/>
        </w:rPr>
        <w:fldChar w:fldCharType="end"/>
      </w:r>
      <w:r>
        <w:rPr/>
        <w:t xml:space="preserve"> - 15/12/2009</w:t>
      </w:r>
    </w:p>
    <w:p>
      <w:pPr>
        <w:pStyle w:val="headnote"/>
        <w:rPr/>
      </w:pPr>
      <w:r>
        <w:rPr/>
        <w:t>University Health Network</w:t>
      </w:r>
    </w:p>
    <w:p>
      <w:pPr>
        <w:pStyle w:val="section"/>
        <w:rPr/>
      </w:pPr>
      <w:r>
        <w:rPr>
          <w:b/>
        </w:rPr>
        <w:t xml:space="preserve">2 </w:t>
      </w:r>
      <w:r>
        <w:rPr/>
        <w:t>(1)  The corporation formerly known as The Toronto Hospital, as continued after the amalgamation of The Toronto Hospital and The Ontario Cancer Institute, is continued as a corporation without share capital under the name of University Health Network in English and R</w:t>
      </w:r>
      <w:r>
        <w:rPr>
          <w:lang w:val="fr-CA"/>
        </w:rPr>
        <w:t>éseau universitaire de santé</w:t>
      </w:r>
      <w:r>
        <w:rPr>
          <w:b/>
          <w:bCs/>
        </w:rPr>
        <w:t xml:space="preserve"> </w:t>
      </w:r>
      <w:r>
        <w:rPr/>
        <w:t>in French.  2002, c. 18, Sched. I, s. 19 (3).</w:t>
      </w:r>
    </w:p>
    <w:p>
      <w:pPr>
        <w:pStyle w:val="headnote"/>
        <w:rPr/>
      </w:pPr>
      <w:r>
        <w:rPr/>
        <w:t>Composition</w:t>
      </w:r>
    </w:p>
    <w:p>
      <w:pPr>
        <w:pStyle w:val="subsection"/>
        <w:rPr/>
      </w:pPr>
      <w:r>
        <w:rPr/>
        <w:t>(2)  The members of the corporation shall consist of the members of its board of trustees.  1997, c. 45, s. 2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"http://www.ontario.ca/laws/statute/S02018" \l "schedis19s3"</w:instrText>
      </w:r>
      <w:r>
        <w:rPr>
          <w:rStyle w:val="Hyperlink"/>
        </w:rPr>
        <w:fldChar w:fldCharType="separate"/>
      </w:r>
      <w:r>
        <w:rPr>
          <w:rStyle w:val="Hyperlink"/>
        </w:rPr>
        <w:t>2002, c. 18, Sched. I, s. 19 (3)</w:t>
      </w:r>
      <w:r>
        <w:rPr>
          <w:rStyle w:val="Hyperlink"/>
        </w:rPr>
        <w:fldChar w:fldCharType="end"/>
      </w:r>
      <w:r>
        <w:rPr/>
        <w:t xml:space="preserve"> - 26/11/2002</w:t>
      </w:r>
    </w:p>
    <w:p>
      <w:pPr>
        <w:pStyle w:val="headnote"/>
        <w:rPr/>
      </w:pPr>
      <w:r>
        <w:rPr/>
        <w:t>Assets and liabilities</w:t>
      </w:r>
    </w:p>
    <w:p>
      <w:pPr>
        <w:pStyle w:val="section"/>
        <w:rPr/>
      </w:pPr>
      <w:r>
        <w:rPr>
          <w:b/>
        </w:rPr>
        <w:t xml:space="preserve">3 </w:t>
      </w:r>
      <w:r>
        <w:rPr/>
        <w:t>(1)  All rights, obligations, assets and liabilities of The Toronto Hospital and The Ontario Cancer Institute become the rights, obligations, assets and liabilities of the corporation and the corporation stands in the place of The Toronto Hospital and The Ontario Cancer Institute for all purposes.  1997, c. 45, s. 3 (1).</w:t>
      </w:r>
    </w:p>
    <w:p>
      <w:pPr>
        <w:pStyle w:val="headnote"/>
        <w:rPr/>
      </w:pPr>
      <w:r>
        <w:rPr/>
        <w:t>Gifts, etc., to former corporations</w:t>
      </w:r>
    </w:p>
    <w:p>
      <w:pPr>
        <w:pStyle w:val="subsection"/>
        <w:rPr/>
      </w:pPr>
      <w:r>
        <w:rPr/>
        <w:t>(2)  All gifts, trusts, bequests, devises and grants of property or the income or proceeds from property given to, made to or held in trust for The Toronto Hospital or The Ontario Cancer Institute or any of their units shall, in the absence of any contrary intention set out in any deed, will or document, be deemed to be given to, made to or held in trust for the corporation.  1997, c. 45, s. 3 (2).</w:t>
      </w:r>
    </w:p>
    <w:p>
      <w:pPr>
        <w:pStyle w:val="headnote"/>
        <w:rPr/>
      </w:pPr>
      <w:r>
        <w:rPr/>
        <w:t>Gifts, etc., to foundations</w:t>
      </w:r>
    </w:p>
    <w:p>
      <w:pPr>
        <w:pStyle w:val="subsection"/>
        <w:rPr/>
      </w:pPr>
      <w:r>
        <w:rPr/>
        <w:t>(3)  All gifts, trusts, bequests, devises and grants of property or the income or proceeds from property given to, made to or held in trust for The Toronto Hospital Foundation for the use of The Toronto Hospital or The Princess Margaret Hospital Foundation for the use of the Princess Margaret Hospital or The Ontario Cancer Institute or any of their units shall, in the absence of any contrary intention set out in any deed, will or document, be deemed to have been given to, made to or held in trust for the relevant foundation for the use of the corporation.  1997, c. 45, s. 3 (3).</w:t>
      </w:r>
    </w:p>
    <w:p>
      <w:pPr>
        <w:pStyle w:val="headnote"/>
        <w:rPr/>
      </w:pPr>
      <w:r>
        <w:rPr/>
        <w:t>Timing</w:t>
      </w:r>
    </w:p>
    <w:p>
      <w:pPr>
        <w:pStyle w:val="subsection"/>
        <w:rPr/>
      </w:pPr>
      <w:r>
        <w:rPr/>
        <w:t>(4)  Subsections (2) and (3) apply whether the deed, will or document was made before or after the coming into force of this Act.  1997, c. 45, s. 3 (4).</w:t>
      </w:r>
    </w:p>
    <w:p>
      <w:pPr>
        <w:pStyle w:val="headnote"/>
        <w:rPr/>
      </w:pPr>
      <w:r>
        <w:rPr/>
        <w:t>Special use</w:t>
      </w:r>
    </w:p>
    <w:p>
      <w:pPr>
        <w:pStyle w:val="subsection"/>
        <w:rPr/>
      </w:pPr>
      <w:r>
        <w:rPr/>
        <w:t>(5)  All gifts, trusts, bequests, devises and grants of property or the income or proceeds from property given to, made to or held in trust for The Ontario Cancer Institute or The Princess Margaret Hospital Foundation which are deemed to be given to, made to or held in trust for the corporation under subsections (2) and (3) shall be applied to the oncology program of the corporation.  1997, c. 45, s. 3 (5).</w:t>
      </w:r>
    </w:p>
    <w:p>
      <w:pPr>
        <w:pStyle w:val="headnote"/>
        <w:rPr/>
      </w:pPr>
      <w:r>
        <w:rPr/>
        <w:t>Objects</w:t>
      </w:r>
    </w:p>
    <w:p>
      <w:pPr>
        <w:pStyle w:val="section"/>
        <w:rPr/>
      </w:pPr>
      <w:r>
        <w:rPr>
          <w:b/>
        </w:rPr>
        <w:t xml:space="preserve">4 </w:t>
      </w:r>
      <w:r>
        <w:rPr/>
        <w:t xml:space="preserve">(1)  The objects of the corporation are, </w:t>
      </w:r>
    </w:p>
    <w:p>
      <w:pPr>
        <w:pStyle w:val="paragraph"/>
        <w:rPr/>
      </w:pPr>
      <w:r>
        <w:rPr/>
        <w:tab/>
        <w:t>(a)</w:t>
        <w:tab/>
        <w:t>to establish and provide programs of patient care and community health and to equip, maintain, operate and conduct hospital, teaching and research facilities;</w:t>
      </w:r>
    </w:p>
    <w:p>
      <w:pPr>
        <w:pStyle w:val="paragraph"/>
        <w:rPr/>
      </w:pPr>
      <w:r>
        <w:rPr/>
        <w:tab/>
        <w:t>(b)</w:t>
        <w:tab/>
        <w:t>to maintain and operate, among other priority programs, facilities known as The Ontario Cancer Institute/Princess Margaret Hospital for cancer research, diagnosis and treatment;</w:t>
      </w:r>
    </w:p>
    <w:p>
      <w:pPr>
        <w:pStyle w:val="paragraph"/>
        <w:rPr/>
      </w:pPr>
      <w:r>
        <w:rPr/>
        <w:tab/>
        <w:t>(c)</w:t>
        <w:tab/>
        <w:t>to conduct programs of education and research in fields of health in association with the University of Toronto or with other persons; and</w:t>
      </w:r>
    </w:p>
    <w:p>
      <w:pPr>
        <w:pStyle w:val="paragraph"/>
        <w:rPr/>
      </w:pPr>
      <w:r>
        <w:rPr/>
        <w:tab/>
        <w:t>(d)</w:t>
        <w:tab/>
        <w:t>to accept donations, gifts, legacies and bequests for use in promoting the objects of and carrying on the work of the corporation.  1997, c. 45, s. 4 (1).</w:t>
      </w:r>
    </w:p>
    <w:p>
      <w:pPr>
        <w:pStyle w:val="subsection"/>
        <w:rPr/>
      </w:pPr>
      <w:r>
        <w:rPr/>
        <w:t>(2)  </w:t>
      </w:r>
      <w:r>
        <w:rPr>
          <w:rStyle w:val="ovsmallcap"/>
        </w:rPr>
        <w:t>Repealed</w:t>
      </w:r>
      <w:r>
        <w:rPr/>
        <w:t>:  2009, c. 33, Sched. 18, s. 34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"sched18s34s2"</w:instrText>
      </w:r>
      <w:r>
        <w:rPr>
          <w:rStyle w:val="Hyperlink"/>
        </w:rPr>
        <w:fldChar w:fldCharType="separate"/>
      </w:r>
      <w:r>
        <w:rPr>
          <w:rStyle w:val="Hyperlink"/>
        </w:rPr>
        <w:t>2009, c. 33, Sched. 18, s. 34 (2)</w:t>
      </w:r>
      <w:r>
        <w:rPr>
          <w:rStyle w:val="Hyperlink"/>
        </w:rPr>
        <w:fldChar w:fldCharType="end"/>
      </w:r>
      <w:r>
        <w:rPr/>
        <w:t xml:space="preserve"> - 15/12/2009</w:t>
      </w:r>
    </w:p>
    <w:p>
      <w:pPr>
        <w:pStyle w:val="headnote"/>
        <w:rPr/>
      </w:pPr>
      <w:r>
        <w:rPr/>
        <w:t>Board</w:t>
      </w:r>
    </w:p>
    <w:p>
      <w:pPr>
        <w:pStyle w:val="section"/>
        <w:rPr/>
      </w:pPr>
      <w:r>
        <w:rPr>
          <w:b/>
          <w:bCs/>
        </w:rPr>
        <w:t xml:space="preserve">5 </w:t>
      </w:r>
      <w:r>
        <w:rPr/>
        <w:t>(1)</w:t>
      </w:r>
      <w:r>
        <w:rPr>
          <w:rFonts w:cs="Times"/>
        </w:rPr>
        <w:t>  </w:t>
      </w:r>
      <w:r>
        <w:rPr/>
        <w:t>The affairs of the corporation shall be managed by a board of trustees consisting of,</w:t>
      </w:r>
    </w:p>
    <w:p>
      <w:pPr>
        <w:pStyle w:val="paragraph"/>
        <w:rPr/>
      </w:pPr>
      <w:r>
        <w:rPr/>
        <w:tab/>
        <w:t>(a)</w:t>
        <w:tab/>
        <w:t>such persons for such terms as are provided for in the by-laws of the corporation; and</w:t>
      </w:r>
    </w:p>
    <w:p>
      <w:pPr>
        <w:pStyle w:val="paragraph"/>
        <w:rPr/>
      </w:pPr>
      <w:r>
        <w:rPr/>
        <w:tab/>
        <w:t>(b)</w:t>
        <w:tab/>
        <w:t xml:space="preserve">such other persons as are provided for under the </w:t>
      </w:r>
      <w:r>
        <w:rPr>
          <w:rStyle w:val="ovitalic"/>
        </w:rPr>
        <w:t>Public Hospitals Act</w:t>
      </w:r>
      <w:r>
        <w:rPr/>
        <w:t>.  2002, c. 18, Sched. I, s. 19 (4); 2009, c. 33, Sched. 18, s. 34 (3).</w:t>
      </w:r>
    </w:p>
    <w:p>
      <w:pPr>
        <w:pStyle w:val="subsection"/>
        <w:rPr/>
      </w:pPr>
      <w:r>
        <w:rPr/>
        <w:t>(2)</w:t>
      </w:r>
      <w:r>
        <w:rPr>
          <w:rFonts w:cs="Times"/>
        </w:rPr>
        <w:t>  </w:t>
      </w:r>
      <w:r>
        <w:rPr>
          <w:rStyle w:val="ovsmallcap"/>
        </w:rPr>
        <w:t>Repealed</w:t>
      </w:r>
      <w:r>
        <w:rPr>
          <w:rFonts w:cs="Times"/>
        </w:rPr>
        <w:t xml:space="preserve">:  </w:t>
      </w:r>
      <w:r>
        <w:rPr/>
        <w:t>2009, c. 33, Sched. 18, s. 34 (4).</w:t>
      </w:r>
    </w:p>
    <w:p>
      <w:pPr>
        <w:pStyle w:val="footnoteLeft"/>
        <w:jc w:val="start"/>
        <w:rPr>
          <w:b/>
        </w:rPr>
      </w:pPr>
      <w:r>
        <w:rPr>
          <w:b/>
        </w:rPr>
        <w:t>Section Amendments with date in force (d/m/y)</w:t>
      </w:r>
    </w:p>
    <w:p>
      <w:pPr>
        <w:pStyle w:val="footnoteLeft"/>
        <w:rPr/>
      </w:pPr>
      <w:r>
        <w:rPr/>
        <w:t xml:space="preserve">1999, c. 6, s. 63 (1, 2) - no effect - see </w:t>
      </w:r>
      <w:r>
        <w:fldChar w:fldCharType="begin"/>
      </w:r>
      <w:r>
        <w:rPr>
          <w:rStyle w:val="Hyperlink"/>
        </w:rPr>
        <w:instrText xml:space="preserve"> HYPERLINK "http://www.ontario.ca/laws/statute/S02018" \l "schedis19s4"</w:instrText>
      </w:r>
      <w:r>
        <w:rPr>
          <w:rStyle w:val="Hyperlink"/>
        </w:rPr>
        <w:fldChar w:fldCharType="separate"/>
      </w:r>
      <w:r>
        <w:rPr>
          <w:rStyle w:val="Hyperlink"/>
        </w:rPr>
        <w:t>2002, c. 18, Sched. I, s. 19 (4)</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"http://www.ontario.ca/laws/statute/S02018" \l "schedis19s4"</w:instrText>
      </w:r>
      <w:r>
        <w:rPr>
          <w:rStyle w:val="Hyperlink"/>
        </w:rPr>
        <w:fldChar w:fldCharType="separate"/>
      </w:r>
      <w:r>
        <w:rPr>
          <w:rStyle w:val="Hyperlink"/>
        </w:rPr>
        <w:t>2002, c. 18, Sched. I, s. 19 (4)</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"http://www.ontario.ca/laws/statute/S09033" \l "sched18s34s3"</w:instrText>
      </w:r>
      <w:r>
        <w:rPr>
          <w:rStyle w:val="Hyperlink"/>
        </w:rPr>
        <w:fldChar w:fldCharType="separate"/>
      </w:r>
      <w:r>
        <w:rPr>
          <w:rStyle w:val="Hyperlink"/>
        </w:rPr>
        <w:t>2009, c. 33, Sched. 18, s. 34 (3, 4)</w:t>
      </w:r>
      <w:r>
        <w:rPr>
          <w:rStyle w:val="Hyperlink"/>
        </w:rPr>
        <w:fldChar w:fldCharType="end"/>
      </w:r>
      <w:r>
        <w:rPr/>
        <w:t xml:space="preserve"> - 15/12/2009</w:t>
      </w:r>
    </w:p>
    <w:p>
      <w:pPr>
        <w:pStyle w:val="headnote"/>
        <w:rPr/>
      </w:pPr>
      <w:r>
        <w:rPr/>
        <w:t>Electronic communications</w:t>
      </w:r>
    </w:p>
    <w:p>
      <w:pPr>
        <w:pStyle w:val="section"/>
        <w:rPr/>
      </w:pPr>
      <w:r>
        <w:rPr>
          <w:b/>
        </w:rPr>
        <w:t xml:space="preserve">6 </w:t>
      </w:r>
      <w:r>
        <w:rPr/>
        <w:t>(1)  The corporation may by by-law provide for meetings of the board or of the members to be held by means of telephone, electronic or other communication facilities which permit persons participating in a meeting to communicate with each other simultaneously and instantaneously and a person participating in such meeting shall be deemed to be present at that meeting.  1997, c. 45, s. 6 (1).</w:t>
      </w:r>
    </w:p>
    <w:p>
      <w:pPr>
        <w:pStyle w:val="headnote"/>
        <w:rPr/>
      </w:pPr>
      <w:r>
        <w:rPr/>
        <w:t>Resolution</w:t>
      </w:r>
    </w:p>
    <w:p>
      <w:pPr>
        <w:pStyle w:val="subsection"/>
        <w:rPr/>
      </w:pPr>
      <w:r>
        <w:rPr/>
        <w:t>(2)  A resolution in writing, signed by the persons entitled to vote on that resolution at a meeting of the members, the board or a committee of the board is as valid as if it had been passed at a meeting of the members, board or committee.  1997, c. 45, s. 6 (2).</w:t>
      </w:r>
    </w:p>
    <w:p>
      <w:pPr>
        <w:pStyle w:val="headnote"/>
        <w:rPr/>
      </w:pPr>
      <w:r>
        <w:rPr/>
        <w:t>Powers</w:t>
      </w:r>
    </w:p>
    <w:p>
      <w:pPr>
        <w:pStyle w:val="section"/>
        <w:rPr/>
      </w:pPr>
      <w:r>
        <w:rPr>
          <w:b/>
        </w:rPr>
        <w:t xml:space="preserve">7 </w:t>
      </w:r>
      <w:r>
        <w:rPr/>
        <w:t xml:space="preserve">Subject to any express term of a specific trust, the corporation may invest its funds in such securities as are authorized by by-law without being limited to those investments authorized for trustees under the </w:t>
      </w:r>
      <w:r>
        <w:rPr>
          <w:i/>
        </w:rPr>
        <w:t>Trustee Act</w:t>
      </w:r>
      <w:r>
        <w:rPr/>
        <w:t>.  1997, c. 45, s. 7.</w:t>
      </w:r>
    </w:p>
    <w:p>
      <w:pPr>
        <w:pStyle w:val="headnote"/>
        <w:rPr/>
      </w:pPr>
      <w:r>
        <w:rPr/>
        <w:t>Annual meeting</w:t>
      </w:r>
    </w:p>
    <w:p>
      <w:pPr>
        <w:pStyle w:val="section"/>
        <w:rPr/>
      </w:pPr>
      <w:r>
        <w:rPr>
          <w:b/>
        </w:rPr>
        <w:t xml:space="preserve">8 </w:t>
      </w:r>
      <w:r>
        <w:rPr/>
        <w:t>(1)  The annual meeting of the corporation shall be held between April 1 and October 1 in each year on a day fixed by the board and may be combined with the annual meeting of the members as provided in the by-laws.  1997, c. 45, s. 8 (1); 2009, c. 33, Sched. 18, s. 34 (5).</w:t>
      </w:r>
    </w:p>
    <w:p>
      <w:pPr>
        <w:pStyle w:val="headnote"/>
        <w:rPr/>
      </w:pPr>
      <w:r>
        <w:rPr/>
        <w:t>Notice</w:t>
      </w:r>
    </w:p>
    <w:p>
      <w:pPr>
        <w:pStyle w:val="subsection"/>
        <w:rPr/>
      </w:pPr>
      <w:r>
        <w:rPr/>
        <w:t>(2)  Notice of the annual or any other meeting of the corporation shall be given in the manner set out in the by-laws of the corporation.  1997, c. 45, s. 8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"sched18s34s5"</w:instrText>
      </w:r>
      <w:r>
        <w:rPr>
          <w:rStyle w:val="Hyperlink"/>
        </w:rPr>
        <w:fldChar w:fldCharType="separate"/>
      </w:r>
      <w:r>
        <w:rPr>
          <w:rStyle w:val="Hyperlink"/>
        </w:rPr>
        <w:t>2009, c. 33, Sched. 18, s. 34 (5)</w:t>
      </w:r>
      <w:r>
        <w:rPr>
          <w:rStyle w:val="Hyperlink"/>
        </w:rPr>
        <w:fldChar w:fldCharType="end"/>
      </w:r>
      <w:r>
        <w:rPr/>
        <w:t xml:space="preserve"> - 15/12/2009</w:t>
      </w:r>
    </w:p>
    <w:p>
      <w:pPr>
        <w:pStyle w:val="section"/>
        <w:rPr/>
      </w:pPr>
      <w:r>
        <w:rPr>
          <w:b/>
        </w:rPr>
        <w:t xml:space="preserve">9 </w:t>
      </w:r>
      <w:r>
        <w:rPr>
          <w:rStyle w:val="ovsmallcap"/>
        </w:rPr>
        <w:t>Repealed</w:t>
      </w:r>
      <w:r>
        <w:rPr>
          <w:bCs/>
        </w:rPr>
        <w:t xml:space="preserve">:  </w:t>
      </w:r>
      <w:r>
        <w:rPr/>
        <w:t>2009, c. 33, Sched. 18, s. 34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"sched18s34s6"</w:instrText>
      </w:r>
      <w:r>
        <w:rPr>
          <w:rStyle w:val="Hyperlink"/>
        </w:rPr>
        <w:fldChar w:fldCharType="separate"/>
      </w:r>
      <w:r>
        <w:rPr>
          <w:rStyle w:val="Hyperlink"/>
        </w:rPr>
        <w:t>2009, c. 33, Sched. 18, s. 34 (6)</w:t>
      </w:r>
      <w:r>
        <w:rPr>
          <w:rStyle w:val="Hyperlink"/>
        </w:rPr>
        <w:fldChar w:fldCharType="end"/>
      </w:r>
      <w:r>
        <w:rPr/>
        <w:t xml:space="preserve"> - 15/12/2009</w:t>
      </w:r>
    </w:p>
    <w:p>
      <w:pPr>
        <w:pStyle w:val="headnote"/>
        <w:rPr/>
      </w:pPr>
      <w:r>
        <w:rPr/>
        <w:t>Committees</w:t>
      </w:r>
    </w:p>
    <w:p>
      <w:pPr>
        <w:pStyle w:val="section"/>
        <w:rPr/>
      </w:pPr>
      <w:r>
        <w:rPr>
          <w:b/>
        </w:rPr>
        <w:t xml:space="preserve">10 </w:t>
      </w:r>
      <w:r>
        <w:rPr/>
        <w:t>The board may by by-law appoint committees and delegate to any committee any of the powers of the board as set out in the by-laws.  1997, c. 45, s. 10.</w:t>
      </w:r>
    </w:p>
    <w:p>
      <w:pPr>
        <w:pStyle w:val="headnote"/>
        <w:rPr/>
      </w:pPr>
      <w:r>
        <w:rPr/>
        <w:t>Chair</w:t>
      </w:r>
    </w:p>
    <w:p>
      <w:pPr>
        <w:pStyle w:val="section"/>
        <w:rPr/>
      </w:pPr>
      <w:r>
        <w:rPr>
          <w:b/>
        </w:rPr>
        <w:t xml:space="preserve">11 </w:t>
      </w:r>
      <w:r>
        <w:rPr/>
        <w:t>The board shall elect a chair from among the trustees who shall hold office for such period as may be set out in the by-laws.  1997, c. 45, s. 11.</w:t>
      </w:r>
    </w:p>
    <w:p>
      <w:pPr>
        <w:pStyle w:val="headnote"/>
        <w:rPr/>
      </w:pPr>
      <w:r>
        <w:rPr/>
        <w:t>Officers</w:t>
      </w:r>
    </w:p>
    <w:p>
      <w:pPr>
        <w:pStyle w:val="section"/>
        <w:rPr/>
      </w:pPr>
      <w:r>
        <w:rPr>
          <w:b/>
        </w:rPr>
        <w:t xml:space="preserve">12 </w:t>
      </w:r>
      <w:r>
        <w:rPr/>
        <w:t>The board shall appoint a president and may appoint other officers of the corporation who may be members of the board.  1997, c. 45, s. 12.</w:t>
      </w:r>
    </w:p>
    <w:p>
      <w:pPr>
        <w:pStyle w:val="headnote"/>
        <w:rPr/>
      </w:pPr>
      <w:r>
        <w:rPr/>
        <w:t>Voting rights</w:t>
      </w:r>
    </w:p>
    <w:p>
      <w:pPr>
        <w:pStyle w:val="section"/>
        <w:rPr/>
      </w:pPr>
      <w:r>
        <w:rPr>
          <w:b/>
        </w:rPr>
        <w:t>13</w:t>
      </w:r>
      <w:r>
        <w:rPr/>
        <w:t xml:space="preserve"> The board may by by-law establish voting rights and categories of persons eligible to vote at any meeting.  1997, c. 45, s. 13; 2009, c. 33, Sched. 18, s. 34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"sched18s34s7"</w:instrText>
      </w:r>
      <w:r>
        <w:rPr>
          <w:rStyle w:val="Hyperlink"/>
        </w:rPr>
        <w:fldChar w:fldCharType="separate"/>
      </w:r>
      <w:r>
        <w:rPr>
          <w:rStyle w:val="Hyperlink"/>
        </w:rPr>
        <w:t>2009, c. 33, Sched. 18, s. 34 (7)</w:t>
      </w:r>
      <w:r>
        <w:rPr>
          <w:rStyle w:val="Hyperlink"/>
        </w:rPr>
        <w:fldChar w:fldCharType="end"/>
      </w:r>
      <w:r>
        <w:rPr/>
        <w:t xml:space="preserve"> - 15/12/2009</w:t>
      </w:r>
    </w:p>
    <w:p>
      <w:pPr>
        <w:pStyle w:val="section"/>
        <w:rPr>
          <w:bCs/>
        </w:rPr>
      </w:pPr>
      <w:r>
        <w:rPr>
          <w:b/>
          <w:bCs/>
        </w:rPr>
        <w:t xml:space="preserve">14 </w:t>
      </w:r>
      <w:r>
        <w:rPr>
          <w:rStyle w:val="ovsmallcap"/>
        </w:rPr>
        <w:t>Repealed</w:t>
      </w:r>
      <w:r>
        <w:rPr>
          <w:bCs/>
        </w:rPr>
        <w:t xml:space="preserve">:  </w:t>
      </w:r>
      <w:r>
        <w:rPr/>
        <w:t>2009, c. 33, Sched. 18, s. 34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"http://www.ontario.ca/laws/statute/S09033" \l "sched18s34s8"</w:instrText>
      </w:r>
      <w:r>
        <w:rPr>
          <w:rStyle w:val="Hyperlink"/>
        </w:rPr>
        <w:fldChar w:fldCharType="separate"/>
      </w:r>
      <w:r>
        <w:rPr>
          <w:rStyle w:val="Hyperlink"/>
        </w:rPr>
        <w:t>2009, c. 33, Sched. 18, s. 34 (8)</w:t>
      </w:r>
      <w:r>
        <w:rPr>
          <w:rStyle w:val="Hyperlink"/>
        </w:rPr>
        <w:fldChar w:fldCharType="end"/>
      </w:r>
      <w:r>
        <w:rPr/>
        <w:t xml:space="preserve"> - 15/12/2009</w:t>
      </w:r>
    </w:p>
    <w:p>
      <w:pPr>
        <w:pStyle w:val="section"/>
        <w:rPr/>
      </w:pPr>
      <w:r>
        <w:rPr>
          <w:b/>
        </w:rPr>
        <w:t>15, 16</w:t>
      </w:r>
      <w:r>
        <w:rPr>
          <w:bCs/>
        </w:rPr>
        <w:t>  </w:t>
      </w:r>
      <w:r>
        <w:rPr>
          <w:smallCaps/>
        </w:rPr>
        <w:t>Omitted (amends or repeals other Acts)</w:t>
      </w:r>
      <w:r>
        <w:rPr/>
        <w:t>.  1997, c. 45, ss. 15, 16.</w:t>
      </w:r>
    </w:p>
    <w:p>
      <w:pPr>
        <w:pStyle w:val="section"/>
        <w:rPr/>
      </w:pPr>
      <w:r>
        <w:rPr>
          <w:b/>
        </w:rPr>
        <w:t>17</w:t>
      </w:r>
      <w:r>
        <w:rPr>
          <w:b/>
          <w:bCs/>
        </w:rPr>
        <w:t xml:space="preserve"> </w:t>
      </w:r>
      <w:r>
        <w:rPr>
          <w:smallCaps/>
        </w:rPr>
        <w:t>Omitted (provides for coming into force of provisions of this Act)</w:t>
      </w:r>
      <w:r>
        <w:rPr/>
        <w:t>.  1997, c. 45, s. 17.</w:t>
      </w:r>
    </w:p>
    <w:p>
      <w:pPr>
        <w:pStyle w:val="section"/>
        <w:rPr/>
      </w:pPr>
      <w:r>
        <w:rPr>
          <w:b/>
        </w:rPr>
        <w:t>18</w:t>
      </w:r>
      <w:r>
        <w:rPr>
          <w:b/>
          <w:bCs/>
        </w:rPr>
        <w:t xml:space="preserve"> </w:t>
      </w:r>
      <w:r>
        <w:rPr>
          <w:smallCaps/>
        </w:rPr>
        <w:t>Omitted (enacts short title of this Act)</w:t>
      </w:r>
      <w:r>
        <w:rPr/>
        <w:t>.  1997, c. 45, s. 18.</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ocumentMap">
    <w:name w:val="Document Map"/>
    <w:basedOn w:val="Normal"/>
    <w:qFormat/>
    <w:pPr>
      <w:shd w:fill="000080" w:val="clear"/>
    </w:pPr>
    <w:rPr>
      <w:rFonts w:ascii="Tahoma" w:hAnsi="Tahoma" w:cs="Tahoma"/>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firstdef">
    <w:name w:val="firstdef"/>
    <w:basedOn w:val="Normal"/>
    <w:qFormat/>
    <w:pPr>
      <w:tabs>
        <w:tab w:val="clear" w:pos="720"/>
        <w:tab w:val="left" w:pos="0" w:leader="none"/>
      </w:tabs>
      <w:spacing w:lineRule="exact" w:line="209" w:before="111" w:after="0"/>
      <w:ind w:hanging="189" w:start="189" w:end="0"/>
      <w:jc w:val="both"/>
    </w:pPr>
    <w:rPr>
      <w:lang w:val="en-GB"/>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 w:hAnsi="Times New (W1)" w:cs="Times New (W1)"/>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7t4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7t45"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135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2002-12-04T12:33:00Z</dcterms:created>
  <dc:creator/>
  <dc:description/>
  <cp:keywords/>
  <dc:language>en-CA</dc:language>
  <cp:lastModifiedBy/>
  <cp:lastPrinted>2002-09-16T16:12:00Z</cp:lastPrinted>
  <dcterms:modified xsi:type="dcterms:W3CDTF">2017-10-05T10:11:00Z</dcterms:modified>
  <cp:revision>46</cp:revision>
  <dc:subject/>
  <dc:title>University Health Network Act, 1997, S.O. 1997, c. 45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20091215</vt:lpwstr>
  </property>
  <property fmtid="{D5CDD505-2E9C-101B-9397-08002B2CF9AE}" pid="3" name="To Date">
    <vt:lpwstr>Present</vt:lpwstr>
  </property>
</Properties>
</file>