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Arial" w:ascii="Arial" w:hAnsi="Arial"/>
          <w:b/>
          <w:bCs/>
          <w:sz w:val="28"/>
          <w:szCs w:val="28"/>
        </w:rPr>
        <w:t xml:space="preserve">Container-based high-performance computing for modeling large-scale biological neural networks  </w:t>
      </w:r>
    </w:p>
    <w:p>
      <w:pPr>
        <w:pStyle w:val="Normal"/>
        <w:spacing w:lineRule="auto" w:line="240" w:before="0" w:after="0"/>
        <w:rPr>
          <w:rFonts w:ascii="Arial" w:hAnsi="Arial" w:cs="Arial"/>
          <w:b/>
          <w:bCs/>
          <w:sz w:val="28"/>
          <w:szCs w:val="28"/>
        </w:rPr>
      </w:pPr>
      <w:r>
        <w:rPr/>
      </w:r>
    </w:p>
    <w:p>
      <w:pPr>
        <w:pStyle w:val="Normal"/>
        <w:jc w:val="center"/>
        <w:rPr>
          <w:rFonts w:ascii="Arial" w:hAnsi="Arial" w:cs="Arial"/>
          <w:sz w:val="22"/>
          <w:szCs w:val="22"/>
        </w:rPr>
      </w:pPr>
      <w:r>
        <w:rPr>
          <w:rFonts w:cs="Arial" w:ascii="Arial" w:hAnsi="Arial"/>
          <w:sz w:val="22"/>
          <w:szCs w:val="22"/>
        </w:rPr>
        <w:t>Oliver James</w:t>
      </w:r>
      <w:r>
        <w:rPr>
          <w:rFonts w:cs="Arial" w:ascii="Arial" w:hAnsi="Arial"/>
          <w:sz w:val="22"/>
          <w:szCs w:val="22"/>
          <w:vertAlign w:val="superscript"/>
        </w:rPr>
        <w:t>1</w:t>
      </w:r>
      <w:r>
        <w:rPr>
          <w:rFonts w:cs="Arial" w:ascii="Arial" w:hAnsi="Arial"/>
          <w:sz w:val="22"/>
          <w:szCs w:val="22"/>
        </w:rPr>
        <w:t>, Sungho Hong</w:t>
      </w:r>
      <w:r>
        <w:rPr>
          <w:rFonts w:cs="Arial" w:ascii="Arial" w:hAnsi="Arial"/>
          <w:sz w:val="22"/>
          <w:szCs w:val="22"/>
          <w:vertAlign w:val="superscript"/>
        </w:rPr>
        <w:t xml:space="preserve">1† </w:t>
      </w:r>
    </w:p>
    <w:p>
      <w:pPr>
        <w:pStyle w:val="Normal"/>
        <w:spacing w:lineRule="auto" w:line="240" w:before="0" w:after="0"/>
        <w:rPr>
          <w:rFonts w:cs="Arial"/>
          <w:b/>
          <w:bCs/>
          <w:sz w:val="28"/>
          <w:szCs w:val="28"/>
        </w:rPr>
      </w:pPr>
      <w:r>
        <w:rPr>
          <w:rFonts w:ascii="Arial" w:hAnsi="Arial"/>
        </w:rPr>
      </w:r>
    </w:p>
    <w:p>
      <w:pPr>
        <w:pStyle w:val="Normal"/>
        <w:spacing w:lineRule="auto" w:line="276"/>
        <w:rPr>
          <w:rFonts w:ascii="Arial" w:hAnsi="Arial" w:cs="Arial"/>
          <w:sz w:val="22"/>
          <w:szCs w:val="22"/>
        </w:rPr>
      </w:pPr>
      <w:r>
        <w:rPr>
          <w:rFonts w:cs="Arial" w:ascii="Arial" w:hAnsi="Arial"/>
          <w:sz w:val="22"/>
          <w:szCs w:val="22"/>
          <w:vertAlign w:val="superscript"/>
        </w:rPr>
        <w:t xml:space="preserve"> </w:t>
      </w:r>
      <w:r>
        <w:rPr>
          <w:rFonts w:cs="Arial" w:ascii="Arial" w:hAnsi="Arial"/>
          <w:sz w:val="22"/>
          <w:szCs w:val="22"/>
        </w:rPr>
        <w:t>1  Center for Cognition and Sociality, Institute for Basic Science, Daejeon</w:t>
      </w:r>
    </w:p>
    <w:p>
      <w:pPr>
        <w:pStyle w:val="Normal"/>
        <w:spacing w:lineRule="auto" w:line="276" w:before="0" w:after="0"/>
        <w:rPr>
          <w:rFonts w:ascii="Arial" w:hAnsi="Arial" w:cs="Arial"/>
          <w:sz w:val="22"/>
          <w:szCs w:val="22"/>
        </w:rPr>
      </w:pPr>
      <w:r>
        <w:rPr>
          <w:rFonts w:cs="Arial" w:ascii="Arial" w:hAnsi="Arial"/>
          <w:sz w:val="22"/>
          <w:szCs w:val="22"/>
          <w:vertAlign w:val="superscript"/>
        </w:rPr>
        <w:t>†</w:t>
      </w:r>
      <w:r>
        <w:rPr>
          <w:rFonts w:cs="Arial" w:ascii="Arial" w:hAnsi="Arial"/>
          <w:sz w:val="22"/>
          <w:szCs w:val="22"/>
        </w:rPr>
        <w:t xml:space="preserve"> </w:t>
      </w:r>
      <w:r>
        <w:rPr>
          <w:rFonts w:cs="Arial" w:ascii="Arial" w:hAnsi="Arial"/>
          <w:sz w:val="22"/>
          <w:szCs w:val="22"/>
        </w:rPr>
        <w:t>Corresponding author</w:t>
      </w:r>
    </w:p>
    <w:p>
      <w:pPr>
        <w:pStyle w:val="Normal"/>
        <w:spacing w:lineRule="auto" w:line="276" w:before="0" w:after="0"/>
        <w:rPr>
          <w:rFonts w:ascii="Arial" w:hAnsi="Arial" w:cs="Arial"/>
          <w:sz w:val="22"/>
          <w:szCs w:val="22"/>
        </w:rPr>
      </w:pPr>
      <w:r>
        <w:rPr/>
      </w:r>
    </w:p>
    <w:p>
      <w:pPr>
        <w:pStyle w:val="Normal"/>
        <w:spacing w:lineRule="auto" w:line="276" w:before="0" w:after="0"/>
        <w:rPr>
          <w:rFonts w:ascii="Arial" w:hAnsi="Arial" w:cs="Arial"/>
          <w:sz w:val="22"/>
          <w:szCs w:val="22"/>
        </w:rPr>
      </w:pPr>
      <w:r>
        <w:rPr/>
      </w:r>
    </w:p>
    <w:p>
      <w:pPr>
        <w:pStyle w:val="Normal"/>
        <w:spacing w:lineRule="auto" w:line="360" w:before="0" w:after="0"/>
        <w:jc w:val="both"/>
        <w:rPr>
          <w:rFonts w:ascii="Arial" w:hAnsi="Arial" w:cs="Arial"/>
          <w:sz w:val="22"/>
          <w:szCs w:val="22"/>
        </w:rPr>
      </w:pPr>
      <w:r>
        <w:rPr>
          <w:rFonts w:cs="Arial" w:ascii="Arial" w:hAnsi="Arial"/>
          <w:sz w:val="22"/>
          <w:szCs w:val="22"/>
        </w:rPr>
        <w:t>High-performance computing (HPC) is becoming a crucial tool for computational neuroscience, especially for modeling large-scale neural networks with biophysical details. However, developing these models on modern, distributed, and GPU-accelerated HPC infrastructures is often challenging due to heterogeneity in system software, compilers, and runtime environments across institutions and cloud computing providers. Container technology has emerged as a solution to enable portable and consistent execution environments through virtualization, particularly in shared computing infrastructures without root access to ensure full software compatibility. Yet, its adoption in computational neuroscience studies remains limited, despite its potential advantages. Here we introduce a container-based computational framework that can support diverse simulation and analysis pipelines, particularly for large-scale neural network models. We employed Singularity, an HPC-focused container software, to integrate the traditional message passing interface (MPI)-based distributed computing with modern GPU-accelerated HPC resources. This approach allowed us to simultaneously leverage hardware acceleration and distributed computing while maintaining reproducibility and portability. Using computational models of biologically realistic networks, we compared computing performance across multiple HPC environments, examining how it scales with network size and number of nodes/GPUs used. We demonstrate the practical benefits, including  reproducible deployment across different computing environments, minimal performance overhead, and reusable  computational workflows. Our work shows that container technology can significantly benefit neuroscientists conducting computationally intensive studies by making it straightforward to share, reproduce, and validate results across diverse HPC environments.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swiss"/>
    <w:pitch w:val="default"/>
  </w:font>
  <w:font w:name="Arial">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맑은 고딕" w:cs="" w:asciiTheme="minorHAnsi" w:cstheme="minorBidi" w:eastAsiaTheme="minorEastAsia" w:hAnsiTheme="minorHAnsi"/>
        <w:kern w:val="2"/>
        <w:sz w:val="24"/>
        <w:szCs w:val="24"/>
        <w:lang w:val="en-US"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맑은 고딕" w:cs="" w:asciiTheme="minorHAnsi" w:cstheme="minorBidi" w:eastAsiaTheme="minorEastAsia" w:hAnsiTheme="minorHAnsi"/>
      <w:color w:val="auto"/>
      <w:kern w:val="2"/>
      <w:sz w:val="24"/>
      <w:szCs w:val="24"/>
      <w:lang w:val="en-US" w:eastAsia="ko-KR" w:bidi="ar-SA"/>
      <w14:ligatures w14:val="standardContextual"/>
    </w:rPr>
  </w:style>
  <w:style w:type="paragraph" w:styleId="Heading1">
    <w:name w:val="Heading 1"/>
    <w:basedOn w:val="Normal"/>
    <w:next w:val="Normal"/>
    <w:link w:val="Heading1Char"/>
    <w:uiPriority w:val="9"/>
    <w:qFormat/>
    <w:rsid w:val="007f2814"/>
    <w:pPr>
      <w:keepNext w:val="true"/>
      <w:keepLines/>
      <w:spacing w:before="360" w:after="80"/>
      <w:outlineLvl w:val="0"/>
    </w:pPr>
    <w:rPr>
      <w:rFonts w:ascii="Aptos Display" w:hAnsi="Aptos Display" w:eastAsia="맑은 고딕"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f2814"/>
    <w:pPr>
      <w:keepNext w:val="true"/>
      <w:keepLines/>
      <w:spacing w:before="160" w:after="80"/>
      <w:outlineLvl w:val="1"/>
    </w:pPr>
    <w:rPr>
      <w:rFonts w:ascii="Aptos Display" w:hAnsi="Aptos Display" w:eastAsia="맑은 고딕"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f2814"/>
    <w:pPr>
      <w:keepNext w:val="true"/>
      <w:keepLines/>
      <w:spacing w:before="160" w:after="80"/>
      <w:outlineLvl w:val="2"/>
    </w:pPr>
    <w:rPr>
      <w:rFonts w:eastAsia="맑은 고딕"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f2814"/>
    <w:pPr>
      <w:keepNext w:val="true"/>
      <w:keepLines/>
      <w:spacing w:before="80" w:after="40"/>
      <w:outlineLvl w:val="3"/>
    </w:pPr>
    <w:rPr>
      <w:rFonts w:eastAsia="맑은 고딕"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f2814"/>
    <w:pPr>
      <w:keepNext w:val="true"/>
      <w:keepLines/>
      <w:spacing w:before="80" w:after="40"/>
      <w:outlineLvl w:val="4"/>
    </w:pPr>
    <w:rPr>
      <w:rFonts w:eastAsia="맑은 고딕"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f2814"/>
    <w:pPr>
      <w:keepNext w:val="true"/>
      <w:keepLines/>
      <w:spacing w:before="40" w:after="0"/>
      <w:outlineLvl w:val="5"/>
    </w:pPr>
    <w:rPr>
      <w:rFonts w:eastAsia="맑은 고딕"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f2814"/>
    <w:pPr>
      <w:keepNext w:val="true"/>
      <w:keepLines/>
      <w:spacing w:before="40" w:after="0"/>
      <w:outlineLvl w:val="6"/>
    </w:pPr>
    <w:rPr>
      <w:rFonts w:eastAsia="맑은 고딕"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f2814"/>
    <w:pPr>
      <w:keepNext w:val="true"/>
      <w:keepLines/>
      <w:spacing w:before="0" w:after="0"/>
      <w:outlineLvl w:val="7"/>
    </w:pPr>
    <w:rPr>
      <w:rFonts w:eastAsia="맑은 고딕"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f2814"/>
    <w:pPr>
      <w:keepNext w:val="true"/>
      <w:keepLines/>
      <w:spacing w:before="0" w:after="0"/>
      <w:outlineLvl w:val="8"/>
    </w:pPr>
    <w:rPr>
      <w:rFonts w:eastAsia="맑은 고딕"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f2814"/>
    <w:rPr>
      <w:rFonts w:ascii="Aptos Display" w:hAnsi="Aptos Display" w:eastAsia="맑은 고딕"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f2814"/>
    <w:rPr>
      <w:rFonts w:ascii="Aptos Display" w:hAnsi="Aptos Display" w:eastAsia="맑은 고딕"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f2814"/>
    <w:rPr>
      <w:rFonts w:eastAsia="맑은 고딕"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f2814"/>
    <w:rPr>
      <w:rFonts w:eastAsia="맑은 고딕"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f2814"/>
    <w:rPr>
      <w:rFonts w:eastAsia="맑은 고딕"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f2814"/>
    <w:rPr>
      <w:rFonts w:eastAsia="맑은 고딕"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f2814"/>
    <w:rPr>
      <w:rFonts w:eastAsia="맑은 고딕"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f2814"/>
    <w:rPr>
      <w:rFonts w:eastAsia="맑은 고딕"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f2814"/>
    <w:rPr>
      <w:rFonts w:eastAsia="맑은 고딕" w:cs="" w:cstheme="majorBidi" w:eastAsiaTheme="majorEastAsia"/>
      <w:color w:themeColor="text1" w:themeTint="d8" w:val="272727"/>
    </w:rPr>
  </w:style>
  <w:style w:type="character" w:styleId="TitleChar" w:customStyle="1">
    <w:name w:val="Title Char"/>
    <w:basedOn w:val="DefaultParagraphFont"/>
    <w:link w:val="Title"/>
    <w:uiPriority w:val="10"/>
    <w:qFormat/>
    <w:rsid w:val="007f2814"/>
    <w:rPr>
      <w:rFonts w:ascii="Aptos Display" w:hAnsi="Aptos Display" w:eastAsia="맑은 고딕"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f2814"/>
    <w:rPr>
      <w:rFonts w:eastAsia="맑은 고딕"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f2814"/>
    <w:rPr>
      <w:i/>
      <w:iCs/>
      <w:color w:themeColor="text1" w:themeTint="bf" w:val="404040"/>
    </w:rPr>
  </w:style>
  <w:style w:type="character" w:styleId="IntenseEmphasis">
    <w:name w:val="Intense Emphasis"/>
    <w:basedOn w:val="DefaultParagraphFont"/>
    <w:uiPriority w:val="21"/>
    <w:qFormat/>
    <w:rsid w:val="007f2814"/>
    <w:rPr>
      <w:i/>
      <w:iCs/>
      <w:color w:themeColor="accent1" w:themeShade="bf" w:val="0F4761"/>
    </w:rPr>
  </w:style>
  <w:style w:type="character" w:styleId="IntenseQuoteChar" w:customStyle="1">
    <w:name w:val="Intense Quote Char"/>
    <w:basedOn w:val="DefaultParagraphFont"/>
    <w:link w:val="IntenseQuote"/>
    <w:uiPriority w:val="30"/>
    <w:qFormat/>
    <w:rsid w:val="007f2814"/>
    <w:rPr>
      <w:i/>
      <w:iCs/>
      <w:color w:themeColor="accent1" w:themeShade="bf" w:val="0F4761"/>
    </w:rPr>
  </w:style>
  <w:style w:type="character" w:styleId="IntenseReference">
    <w:name w:val="Intense Reference"/>
    <w:basedOn w:val="DefaultParagraphFont"/>
    <w:uiPriority w:val="32"/>
    <w:qFormat/>
    <w:rsid w:val="007f281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f2814"/>
    <w:pPr>
      <w:spacing w:lineRule="auto" w:line="240" w:before="0" w:after="80"/>
      <w:contextualSpacing/>
    </w:pPr>
    <w:rPr>
      <w:rFonts w:ascii="Aptos Display" w:hAnsi="Aptos Display" w:eastAsia="맑은 고딕"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f2814"/>
    <w:pPr/>
    <w:rPr>
      <w:rFonts w:eastAsia="맑은 고딕"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f2814"/>
    <w:pPr>
      <w:spacing w:before="160" w:after="160"/>
      <w:jc w:val="center"/>
    </w:pPr>
    <w:rPr>
      <w:i/>
      <w:iCs/>
      <w:color w:themeColor="text1" w:themeTint="bf" w:val="404040"/>
    </w:rPr>
  </w:style>
  <w:style w:type="paragraph" w:styleId="ListParagraph">
    <w:name w:val="List Paragraph"/>
    <w:basedOn w:val="Normal"/>
    <w:uiPriority w:val="34"/>
    <w:qFormat/>
    <w:rsid w:val="007f2814"/>
    <w:pPr>
      <w:spacing w:before="0" w:after="160"/>
      <w:ind w:left="720"/>
      <w:contextualSpacing/>
    </w:pPr>
    <w:rPr/>
  </w:style>
  <w:style w:type="paragraph" w:styleId="IntenseQuote">
    <w:name w:val="Intense Quote"/>
    <w:basedOn w:val="Normal"/>
    <w:next w:val="Normal"/>
    <w:link w:val="IntenseQuoteChar"/>
    <w:uiPriority w:val="30"/>
    <w:qFormat/>
    <w:rsid w:val="007f281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LibreOffice/24.2.7.2$Linux_X86_64 LibreOffice_project/420$Build-2</Application>
  <AppVersion>15.0000</AppVersion>
  <Pages>1</Pages>
  <Words>253</Words>
  <Characters>1861</Characters>
  <CharactersWithSpaces>2116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2025-05-22T04:30:00Z</dcterms:created>
  <dc:creator>Jaeson Jang</dc:creator>
  <dc:description/>
  <dc:language>en-US</dc:language>
  <cp:lastModifiedBy/>
  <dcterms:modified xsi:type="dcterms:W3CDTF">2025-06-26T16:22:25Z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