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Times New Roman" w:hAnsi="Times New Roman"/>
          <w:b/>
          <w:sz w:val="28"/>
        </w:rPr>
        <w:t>EL PARALENGUAJE EN LA COMUNICACIÓN HUMANA</w:t>
      </w:r>
    </w:p>
    <w:p/>
    <w:p/>
    <w:p>
      <w:pPr>
        <w:jc w:val="center"/>
      </w:pPr>
      <w:r>
        <w:rPr>
          <w:rFonts w:ascii="Times New Roman" w:hAnsi="Times New Roman"/>
          <w:sz w:val="24"/>
        </w:rPr>
        <w:t>Emmanuel Madrid y Simón Cardona</w:t>
      </w:r>
    </w:p>
    <w:p/>
    <w:p/>
    <w:p>
      <w:pPr>
        <w:jc w:val="center"/>
      </w:pPr>
      <w:r>
        <w:rPr>
          <w:rFonts w:ascii="Times New Roman" w:hAnsi="Times New Roman"/>
          <w:sz w:val="24"/>
        </w:rPr>
        <w:t>Servicio Nacional de Aprendizaje (SENA)</w:t>
      </w:r>
    </w:p>
    <w:p/>
    <w:p>
      <w:pPr>
        <w:jc w:val="center"/>
      </w:pPr>
      <w:r>
        <w:rPr>
          <w:rFonts w:ascii="Times New Roman" w:hAnsi="Times New Roman"/>
          <w:sz w:val="24"/>
        </w:rPr>
        <w:t>Ficha: 3406211</w:t>
      </w:r>
    </w:p>
    <w:p/>
    <w:p>
      <w:pPr>
        <w:jc w:val="center"/>
      </w:pPr>
      <w:r>
        <w:rPr>
          <w:rFonts w:ascii="Times New Roman" w:hAnsi="Times New Roman"/>
          <w:sz w:val="24"/>
        </w:rPr>
        <w:t>Instructor: Kenia Naviye</w:t>
      </w:r>
    </w:p>
    <w:p/>
    <w:p/>
    <w:p/>
    <w:p/>
    <w:p/>
    <w:p/>
    <w:p>
      <w:pPr>
        <w:jc w:val="center"/>
      </w:pPr>
      <w:r>
        <w:rPr>
          <w:rFonts w:ascii="Times New Roman" w:hAnsi="Times New Roman"/>
          <w:sz w:val="24"/>
        </w:rPr>
        <w:t>Septiembre de 2026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4"/>
        </w:rPr>
        <w:t>TABLA DE CONTENIDOS</w:t>
      </w:r>
    </w:p>
    <w:p/>
    <w:p>
      <w:pPr>
        <w:spacing w:line="480" w:lineRule="auto"/>
        <w:ind w:left="0"/>
      </w:pPr>
      <w:r>
        <w:rPr>
          <w:rFonts w:ascii="Times New Roman" w:hAnsi="Times New Roman"/>
          <w:sz w:val="24"/>
        </w:rPr>
        <w:t>Introducción y Definición</w:t>
      </w:r>
    </w:p>
    <w:p>
      <w:pPr>
        <w:spacing w:line="480" w:lineRule="auto"/>
        <w:ind w:left="0"/>
      </w:pPr>
      <w:r>
        <w:rPr>
          <w:rFonts w:ascii="Times New Roman" w:hAnsi="Times New Roman"/>
          <w:sz w:val="24"/>
        </w:rPr>
        <w:t>Componentes Principales del Paralenguaje</w:t>
      </w:r>
    </w:p>
    <w:p>
      <w:pPr>
        <w:spacing w:line="480" w:lineRule="auto"/>
        <w:ind w:left="0"/>
      </w:pPr>
      <w:r>
        <w:rPr>
          <w:rFonts w:ascii="Times New Roman" w:hAnsi="Times New Roman"/>
          <w:sz w:val="24"/>
        </w:rPr>
        <w:t>Funciones Comunicativas y Dimensión Pragmática</w:t>
      </w:r>
    </w:p>
    <w:p>
      <w:pPr>
        <w:spacing w:line="480" w:lineRule="auto"/>
        <w:ind w:left="0"/>
      </w:pPr>
      <w:r>
        <w:rPr>
          <w:rFonts w:ascii="Times New Roman" w:hAnsi="Times New Roman"/>
          <w:sz w:val="24"/>
        </w:rPr>
        <w:t>Referencias Bibliográficas</w:t>
      </w:r>
    </w:p>
    <w:p>
      <w:r>
        <w:br w:type="page"/>
      </w:r>
    </w:p>
    <w:p>
      <w:pPr>
        <w:pStyle w:val="Heading1"/>
        <w:spacing w:line="480" w:lineRule="auto"/>
      </w:pPr>
      <w:r>
        <w:rPr>
          <w:rFonts w:ascii="Times New Roman" w:hAnsi="Times New Roman"/>
          <w:sz w:val="24"/>
        </w:rPr>
        <w:t>Introducción y Definición</w:t>
      </w:r>
    </w:p>
    <w:p>
      <w:pPr>
        <w:spacing w:line="480" w:lineRule="auto"/>
        <w:ind w:firstLine="720"/>
      </w:pPr>
      <w:r>
        <w:rPr>
          <w:rFonts w:ascii="Times New Roman" w:hAnsi="Times New Roman"/>
          <w:sz w:val="24"/>
        </w:rPr>
        <w:t>El paralenguaje abarca el conjunto de cualidades vocales no verbales y los sonidos paralingüísticos que acompañan al lenguaje articulado, modificando, enriqueciendo o contradiciendo el significado del mensaje verbal. Mientras que las palabras transmiten el contenido conceptual, el paralenguaje se centra estrictamente en la dimensión acústica de cómo se emite dicho contenido.</w:t>
      </w:r>
    </w:p>
    <w:p>
      <w:pPr>
        <w:pStyle w:val="Heading1"/>
        <w:spacing w:line="480" w:lineRule="auto"/>
      </w:pPr>
      <w:r>
        <w:rPr>
          <w:rFonts w:ascii="Times New Roman" w:hAnsi="Times New Roman"/>
          <w:sz w:val="24"/>
        </w:rPr>
        <w:t>Componentes Principales del Paralenguaje</w:t>
      </w:r>
    </w:p>
    <w:p>
      <w:pPr>
        <w:pStyle w:val="Heading2"/>
        <w:spacing w:line="480" w:lineRule="auto"/>
      </w:pPr>
      <w:r>
        <w:rPr>
          <w:rFonts w:ascii="Times New Roman" w:hAnsi="Times New Roman"/>
          <w:sz w:val="24"/>
        </w:rPr>
        <w:t>Tono y Registro</w:t>
      </w:r>
    </w:p>
    <w:p>
      <w:pPr>
        <w:spacing w:line="480" w:lineRule="auto"/>
        <w:ind w:firstLine="720" w:left="0"/>
      </w:pPr>
      <w:r>
        <w:rPr>
          <w:rFonts w:ascii="Times New Roman" w:hAnsi="Times New Roman"/>
          <w:sz w:val="24"/>
        </w:rPr>
        <w:t>Corresponde a la frecuencia de la onda sonora (vocalizaciones agudas o graves), estando estrechamente vinculado a estados emocionales básicos como la ira, el miedo, la tristeza o la alegría.</w:t>
      </w:r>
    </w:p>
    <w:p>
      <w:pPr>
        <w:pStyle w:val="Heading2"/>
        <w:spacing w:line="480" w:lineRule="auto"/>
      </w:pPr>
      <w:r>
        <w:rPr>
          <w:rFonts w:ascii="Times New Roman" w:hAnsi="Times New Roman"/>
          <w:sz w:val="24"/>
        </w:rPr>
        <w:t>Ritmo y Velocidad</w:t>
      </w:r>
    </w:p>
    <w:p>
      <w:pPr>
        <w:spacing w:line="480" w:lineRule="auto"/>
        <w:ind w:firstLine="720" w:left="0"/>
      </w:pPr>
      <w:r>
        <w:rPr>
          <w:rFonts w:ascii="Times New Roman" w:hAnsi="Times New Roman"/>
          <w:sz w:val="24"/>
        </w:rPr>
        <w:t>Alude a la cadencia con la que se pronuncian las palabras y a la distribución de las pausas; un discurso acelerado suele denotar ansiedad o entusiasmo, mientras que un ritmo pausado proyecta seguridad y control reflexivo.</w:t>
      </w:r>
    </w:p>
    <w:p>
      <w:pPr>
        <w:pStyle w:val="Heading2"/>
        <w:spacing w:line="480" w:lineRule="auto"/>
      </w:pPr>
      <w:r>
        <w:rPr>
          <w:rFonts w:ascii="Times New Roman" w:hAnsi="Times New Roman"/>
          <w:sz w:val="24"/>
        </w:rPr>
        <w:t>Volumen e Intensidad</w:t>
      </w:r>
    </w:p>
    <w:p>
      <w:pPr>
        <w:spacing w:line="480" w:lineRule="auto"/>
        <w:ind w:firstLine="720" w:left="0"/>
      </w:pPr>
      <w:r>
        <w:rPr>
          <w:rFonts w:ascii="Times New Roman" w:hAnsi="Times New Roman"/>
          <w:sz w:val="24"/>
        </w:rPr>
        <w:t>Representa la fuerza o energía física empleada en la emisión vocal, variando desde un susurro hasta un grito, reflejando tanto la distancia física con el receptor como la intensidad afectiva o la autoridad del emisor.</w:t>
      </w:r>
    </w:p>
    <w:p>
      <w:pPr>
        <w:pStyle w:val="Heading2"/>
        <w:spacing w:line="480" w:lineRule="auto"/>
      </w:pPr>
      <w:r>
        <w:rPr>
          <w:rFonts w:ascii="Times New Roman" w:hAnsi="Times New Roman"/>
          <w:sz w:val="24"/>
        </w:rPr>
        <w:t>Timbre</w:t>
      </w:r>
    </w:p>
    <w:p>
      <w:pPr>
        <w:spacing w:line="480" w:lineRule="auto"/>
        <w:ind w:firstLine="720" w:left="0"/>
      </w:pPr>
      <w:r>
        <w:rPr>
          <w:rFonts w:ascii="Times New Roman" w:hAnsi="Times New Roman"/>
          <w:sz w:val="24"/>
        </w:rPr>
        <w:t>Es la cualidad distintiva y única de la voz de cada persona, determinada por su anatomía vocal, que permite identificar al hablante y percibir matices sutiles de su estado físico.</w:t>
      </w:r>
    </w:p>
    <w:p>
      <w:pPr>
        <w:pStyle w:val="Heading2"/>
        <w:spacing w:line="480" w:lineRule="auto"/>
      </w:pPr>
      <w:r>
        <w:rPr>
          <w:rFonts w:ascii="Times New Roman" w:hAnsi="Times New Roman"/>
          <w:sz w:val="24"/>
        </w:rPr>
        <w:t>Segregados Vocales</w:t>
      </w:r>
    </w:p>
    <w:p>
      <w:pPr>
        <w:spacing w:line="480" w:lineRule="auto"/>
        <w:ind w:firstLine="720" w:left="0"/>
      </w:pPr>
      <w:r>
        <w:rPr>
          <w:rFonts w:ascii="Times New Roman" w:hAnsi="Times New Roman"/>
          <w:sz w:val="24"/>
        </w:rPr>
        <w:t>Son sonidos no verbales e interjecciones que operan con significado contextual, tales como risas, suspiros, carraspeos, bostezos y sonidos de titubeo (por ejemplo, "este...", "mhm").</w:t>
      </w:r>
    </w:p>
    <w:p>
      <w:pPr>
        <w:pStyle w:val="Heading1"/>
        <w:spacing w:line="480" w:lineRule="auto"/>
      </w:pPr>
      <w:r>
        <w:rPr>
          <w:rFonts w:ascii="Times New Roman" w:hAnsi="Times New Roman"/>
          <w:sz w:val="24"/>
        </w:rPr>
        <w:t>Funciones Comunicativas y Dimensión Pragmática</w:t>
      </w:r>
    </w:p>
    <w:p>
      <w:pPr>
        <w:spacing w:line="480" w:lineRule="auto"/>
        <w:ind w:firstLine="720"/>
      </w:pPr>
      <w:r>
        <w:rPr>
          <w:rFonts w:ascii="Times New Roman" w:hAnsi="Times New Roman"/>
          <w:sz w:val="24"/>
        </w:rPr>
        <w:t>El paralenguaje desempeña un rol regulador y expresivo indispensable en la interacción social:</w:t>
      </w:r>
    </w:p>
    <w:p>
      <w:pPr>
        <w:pStyle w:val="Heading2"/>
        <w:spacing w:line="480" w:lineRule="auto"/>
      </w:pPr>
      <w:r>
        <w:rPr>
          <w:rFonts w:ascii="Times New Roman" w:hAnsi="Times New Roman"/>
          <w:sz w:val="24"/>
        </w:rPr>
        <w:t>Regulación Conversacional</w:t>
      </w:r>
    </w:p>
    <w:p>
      <w:pPr>
        <w:spacing w:line="480" w:lineRule="auto"/>
        <w:ind w:firstLine="720"/>
      </w:pPr>
      <w:r>
        <w:rPr>
          <w:rFonts w:ascii="Times New Roman" w:hAnsi="Times New Roman"/>
          <w:sz w:val="24"/>
        </w:rPr>
        <w:t>Facilita la alternancia de turnos en el diálogo mediante inflexiones tonales descendentes que indican el final de una intervención.</w:t>
      </w:r>
    </w:p>
    <w:p>
      <w:pPr>
        <w:pStyle w:val="Heading2"/>
        <w:spacing w:line="480" w:lineRule="auto"/>
      </w:pPr>
      <w:r>
        <w:rPr>
          <w:rFonts w:ascii="Times New Roman" w:hAnsi="Times New Roman"/>
          <w:sz w:val="24"/>
        </w:rPr>
        <w:t>Congruencia e Ironía</w:t>
      </w:r>
    </w:p>
    <w:p>
      <w:pPr>
        <w:spacing w:line="480" w:lineRule="auto"/>
        <w:ind w:firstLine="720"/>
      </w:pPr>
      <w:r>
        <w:rPr>
          <w:rFonts w:ascii="Times New Roman" w:hAnsi="Times New Roman"/>
          <w:sz w:val="24"/>
        </w:rPr>
        <w:t>Permite interpretar la intención real del hablante, ya que un enunciado literal positivo puede transformarse en sarcasmo si se combina con un tono o modulación vocal disonante.</w:t>
      </w:r>
    </w:p>
    <w:p>
      <w:pPr>
        <w:pStyle w:val="Heading2"/>
        <w:spacing w:line="480" w:lineRule="auto"/>
      </w:pPr>
      <w:r>
        <w:rPr>
          <w:rFonts w:ascii="Times New Roman" w:hAnsi="Times New Roman"/>
          <w:sz w:val="24"/>
        </w:rPr>
        <w:t>Énfasis Semántico</w:t>
      </w:r>
    </w:p>
    <w:p>
      <w:pPr>
        <w:spacing w:line="480" w:lineRule="auto"/>
        <w:ind w:firstLine="720"/>
      </w:pPr>
      <w:r>
        <w:rPr>
          <w:rFonts w:ascii="Times New Roman" w:hAnsi="Times New Roman"/>
          <w:sz w:val="24"/>
        </w:rPr>
        <w:t>Otorga relieve a conceptos específicos dentro de una oración mediante variaciones dinámicas de volumen o pausas estratégicas.</w:t>
      </w:r>
    </w:p>
    <w:p>
      <w:pPr>
        <w:spacing w:line="480" w:lineRule="auto"/>
        <w:ind w:firstLine="720"/>
      </w:pPr>
      <w:r>
        <w:rPr>
          <w:rFonts w:ascii="Times New Roman" w:hAnsi="Times New Roman"/>
          <w:sz w:val="24"/>
        </w:rPr>
        <w:t>Adicionalmente, la investigación sociolingüística y psicológica demuestra que las señales paralingüísticas operan como un indicador clave de la estructura social, los roles jerárquicos y la identidad cultural de los interlocutores. Las variaciones en la modulación y la proyección de la voz suelen reflejar dinámicas de poder, grado de formalidad en el contexto e incluso el nivel de empatía que se busca proyectar durante el acto comunicativo.</w:t>
      </w:r>
    </w:p>
    <w:p>
      <w:r>
        <w:br w:type="page"/>
      </w:r>
    </w:p>
    <w:p>
      <w:pPr>
        <w:pStyle w:val="Heading1"/>
        <w:spacing w:line="480" w:lineRule="auto"/>
      </w:pPr>
      <w:r>
        <w:rPr>
          <w:rFonts w:ascii="Times New Roman" w:hAnsi="Times New Roman"/>
          <w:sz w:val="24"/>
        </w:rPr>
        <w:t>Referencias Bibliográficas</w:t>
      </w:r>
    </w:p>
    <w:p>
      <w:pPr>
        <w:spacing w:line="480" w:lineRule="auto"/>
        <w:ind w:left="720" w:hanging="720"/>
      </w:pPr>
      <w:r>
        <w:rPr>
          <w:rFonts w:ascii="Times New Roman" w:hAnsi="Times New Roman"/>
          <w:sz w:val="24"/>
        </w:rPr>
        <w:t>Cicerón, M. T. (1990). De oratore. Editorial Gredos.</w:t>
      </w:r>
    </w:p>
    <w:p>
      <w:pPr>
        <w:spacing w:line="480" w:lineRule="auto"/>
        <w:ind w:left="720" w:hanging="720"/>
      </w:pPr>
      <w:r>
        <w:rPr>
          <w:rFonts w:ascii="Times New Roman" w:hAnsi="Times New Roman"/>
          <w:sz w:val="24"/>
        </w:rPr>
        <w:t>Davis, F. (1998). La comunicación no verbal. Alianza Editorial.</w:t>
      </w:r>
    </w:p>
    <w:p>
      <w:pPr>
        <w:spacing w:line="480" w:lineRule="auto"/>
        <w:ind w:left="720" w:hanging="720"/>
      </w:pPr>
      <w:r>
        <w:rPr>
          <w:rFonts w:ascii="Times New Roman" w:hAnsi="Times New Roman"/>
          <w:sz w:val="24"/>
        </w:rPr>
        <w:t>Knapp, M. L. (1995). La comunicación no verbal: El cuerpo y el entorno. Ediciones Paidós.</w:t>
      </w:r>
    </w:p>
    <w:p>
      <w:pPr>
        <w:spacing w:line="480" w:lineRule="auto"/>
        <w:ind w:left="720" w:hanging="720"/>
      </w:pPr>
      <w:r>
        <w:rPr>
          <w:rFonts w:ascii="Times New Roman" w:hAnsi="Times New Roman"/>
          <w:sz w:val="24"/>
        </w:rPr>
        <w:t>Poyatos, F. (1994). La comunicación paralingüística: Estructura, función y contexto. Editorial Istmo.</w:t>
      </w:r>
    </w:p>
    <w:p>
      <w:pPr>
        <w:spacing w:line="480" w:lineRule="auto"/>
        <w:ind w:left="720" w:hanging="720"/>
      </w:pPr>
      <w:r>
        <w:rPr>
          <w:rFonts w:ascii="Times New Roman" w:hAnsi="Times New Roman"/>
          <w:sz w:val="24"/>
        </w:rPr>
        <w:t>Trager, G. L. (1958). Paralanguage: A first approximation. Studies in Linguistics, 13(1-2), 1-12.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