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56"/>
        </w:rPr>
        <w:t>Best-in-Class Ad Creatives</w:t>
      </w:r>
    </w:p>
    <w:p>
      <w:pPr>
        <w:jc w:val="center"/>
      </w:pPr>
      <w:r>
        <w:rPr>
          <w:color w:val="334466"/>
          <w:sz w:val="32"/>
        </w:rPr>
        <w:t>Der datenbasierte Leitfaden für maximalen Outreach</w:t>
      </w:r>
    </w:p>
    <w:p>
      <w:pPr>
        <w:jc w:val="center"/>
      </w:pPr>
      <w:r>
        <w:rPr>
          <w:i/>
          <w:color w:val="667788"/>
          <w:sz w:val="22"/>
        </w:rPr>
        <w:t>Hooks · Holds · CTAs · Plattform-Benchmarks · Score-Formel</w:t>
        <w:br/>
        <w:t>Stand: Mai 2026 · WODOIL / Content-Tool</w:t>
      </w:r>
    </w:p>
    <w:p/>
    <w:p/>
    <w:p>
      <w:pPr>
        <w:pStyle w:val="Heading1"/>
      </w:pPr>
      <w:r>
        <w:rPr>
          <w:color w:val="0F172A"/>
        </w:rPr>
        <w:t>0. Executive Summary — Was wirklich zählt</w:t>
      </w:r>
    </w:p>
    <w:p>
      <w:r>
        <w:rPr>
          <w:b/>
          <w:i w:val="0"/>
        </w:rPr>
        <w:t>Die Performance eines Ad-Creatives hängt nicht von „schöner Gestaltung“ ab, sondern von 4 messbaren Hebeln:</w:t>
      </w:r>
    </w:p>
    <w:p>
      <w:pPr>
        <w:pStyle w:val="ListNumber"/>
      </w:pPr>
      <w:r>
        <w:t>Hook in den ersten 1,7 Sek — entscheidet über 65 % der späteren Watch-Time (Meta 2024).</w:t>
      </w:r>
    </w:p>
    <w:p>
      <w:pPr>
        <w:pStyle w:val="ListNumber"/>
      </w:pPr>
      <w:r>
        <w:t>Hold-Mechanik Sek 2–8 — bestimmt, ob CTR-Klick noch zustande kommt.</w:t>
      </w:r>
    </w:p>
    <w:p>
      <w:pPr>
        <w:pStyle w:val="ListNumber"/>
      </w:pPr>
      <w:r>
        <w:t>Value-Proof — eine spezifische, verifizierbare Aussage (Zahl, Spec, Vorher/Nachher).</w:t>
      </w:r>
    </w:p>
    <w:p>
      <w:pPr>
        <w:pStyle w:val="ListNumber"/>
      </w:pPr>
      <w:r>
        <w:t>CTA mit Reibungsverlust &lt; 3 Sek — One-Word-Action + Konsequenz („Spar 18 %“).</w:t>
      </w:r>
    </w:p>
    <w:p>
      <w:r>
        <w:rPr>
          <w:b w:val="0"/>
          <w:i/>
        </w:rPr>
        <w:t>Folge: Wenn du diese 4 Achsen je Variante variierst statt 3 zufällige Designs zu testen, erreichst du laut Motion-Studie 2024 (n = 51.000 Ads) eine 2,3-fach höhere CTR bei gleichem Budget.</w:t>
      </w:r>
    </w:p>
    <w:p/>
    <w:p>
      <w:r>
        <w:rPr>
          <w:b/>
          <w:i w:val="0"/>
        </w:rPr>
        <w:t>Kern-Erkenntnis aus 51.000 ausgewerteten Ads (Motion 2024):</w:t>
      </w:r>
    </w:p>
    <w:p>
      <w:pPr>
        <w:ind w:left="340"/>
      </w:pPr>
      <w:r>
        <w:rPr>
          <w:i/>
          <w:color w:val="556677"/>
        </w:rPr>
        <w:t>„Die obersten 5 % aller Ads tragen 80 % der gesamten Conversion-Performance. Was sie eint, ist nicht das Visual-Budget — sondern ein klar identifizierbarer Hook in unter 2 Sekunden und ein Spezifizitätsgrad, der sich in Zahlen, Vorher-Nachher oder Time-to-Result misst.“</w:t>
      </w:r>
    </w:p>
    <w:p>
      <w:r>
        <w:br w:type="page"/>
      </w:r>
    </w:p>
    <w:p>
      <w:pPr>
        <w:pStyle w:val="Heading1"/>
      </w:pPr>
      <w:r>
        <w:rPr>
          <w:color w:val="0F172A"/>
        </w:rPr>
        <w:t>1. Die 4 Säulen eines High-Performance-Creatives</w:t>
      </w:r>
    </w:p>
    <w:p>
      <w:pPr>
        <w:pStyle w:val="Heading2"/>
      </w:pPr>
      <w:r>
        <w:rPr>
          <w:color w:val="1F2A44"/>
        </w:rPr>
        <w:t>1.1 Hook — die erste 1,7 Sek</w:t>
      </w:r>
    </w:p>
    <w:p>
      <w:r>
        <w:rPr>
          <w:b w:val="0"/>
          <w:i w:val="0"/>
        </w:rPr>
        <w:t>Daten (Meta Advantage+ Insights 2024):</w:t>
      </w:r>
    </w:p>
    <w:p>
      <w:pPr>
        <w:pStyle w:val="ListBullet"/>
      </w:pPr>
      <w:r>
        <w:t>Drop-Off-Schwelle Sek 1: 47 % der User scrollen weiter</w:t>
      </w:r>
    </w:p>
    <w:p>
      <w:pPr>
        <w:pStyle w:val="ListBullet"/>
      </w:pPr>
      <w:r>
        <w:t>Drop-Off-Schwelle Sek 3: weitere 18 % gehen verloren</w:t>
      </w:r>
    </w:p>
    <w:p>
      <w:pPr>
        <w:pStyle w:val="ListBullet"/>
      </w:pPr>
      <w:r>
        <w:t>User, die Sek 3 erreichen, schauen im Schnitt 14,2 Sek weiter</w:t>
      </w:r>
    </w:p>
    <w:p>
      <w:r>
        <w:rPr>
          <w:b w:val="0"/>
          <w:i w:val="0"/>
        </w:rPr>
        <w:t>Konsequenz: Bild 1 / Wort 1 / Sekunde 1 MUSS einen Pattern-Interrupt liefern. Statisches Branding-Frontfoto = sofortiger Scroll.</w:t>
      </w:r>
    </w:p>
    <w:p>
      <w:pPr>
        <w:pStyle w:val="Heading2"/>
      </w:pPr>
      <w:r>
        <w:rPr>
          <w:color w:val="1F2A44"/>
        </w:rPr>
        <w:t>1.2 Hold — Sek 2 bis Sek 8</w:t>
      </w:r>
    </w:p>
    <w:p>
      <w:r>
        <w:rPr>
          <w:b w:val="0"/>
          <w:i w:val="0"/>
        </w:rPr>
        <w:t>Daten (TikTok Creative Center 2024 — Top-Performer):</w:t>
      </w:r>
    </w:p>
    <w:p>
      <w:pPr>
        <w:pStyle w:val="ListBullet"/>
      </w:pPr>
      <w:r>
        <w:t>Cut-Rate: durchschnittlich alle 1,4 Sek ein neuer Frame/Cut</w:t>
      </w:r>
    </w:p>
    <w:p>
      <w:pPr>
        <w:pStyle w:val="ListBullet"/>
      </w:pPr>
      <w:r>
        <w:t>Top-1 % der Reels haben min. 5 Cuts in den ersten 6 Sek</w:t>
      </w:r>
    </w:p>
    <w:p>
      <w:pPr>
        <w:pStyle w:val="ListBullet"/>
      </w:pPr>
      <w:r>
        <w:t>Captions on-screen erhöhen Avg-Watch-Time um 12 % (Vidyard 2023)</w:t>
      </w:r>
    </w:p>
    <w:p>
      <w:r>
        <w:rPr>
          <w:b w:val="0"/>
          <w:i w:val="0"/>
        </w:rPr>
        <w:t>Konsequenz: Auch Static-Creatives brauchen visuelle „Information-Density“ — mind. 3 Elemente, die das Auge in geordneter Reihenfolge führen.</w:t>
      </w:r>
    </w:p>
    <w:p>
      <w:pPr>
        <w:pStyle w:val="Heading2"/>
      </w:pPr>
      <w:r>
        <w:rPr>
          <w:color w:val="1F2A44"/>
        </w:rPr>
        <w:t>1.3 Value-Proof — Substanz statt Slogan</w:t>
      </w:r>
    </w:p>
    <w:p>
      <w:r>
        <w:rPr>
          <w:b w:val="0"/>
          <w:i w:val="0"/>
        </w:rPr>
        <w:t>Daten (Nielsen Norman, Eyetracking-Studie 2023):</w:t>
      </w:r>
    </w:p>
    <w:p>
      <w:pPr>
        <w:pStyle w:val="ListBullet"/>
      </w:pPr>
      <w:r>
        <w:t>User-Auge fixiert Zahlen 38 % länger als Text</w:t>
      </w:r>
    </w:p>
    <w:p>
      <w:pPr>
        <w:pStyle w:val="ListBullet"/>
      </w:pPr>
      <w:r>
        <w:t>Spezifische Claims („84 % weniger Verbrauch“) konvertieren 2,7x besser als generische („mehr Effizienz“) — Unbounce 2023</w:t>
      </w:r>
    </w:p>
    <w:p>
      <w:pPr>
        <w:pStyle w:val="ListBullet"/>
      </w:pPr>
      <w:r>
        <w:t>Vorher/Nachher-Bilder erhöhen Conversion um 32 % gegenüber Single-Shot — Smartly.io 2024</w:t>
      </w:r>
    </w:p>
    <w:p>
      <w:pPr>
        <w:pStyle w:val="Heading2"/>
      </w:pPr>
      <w:r>
        <w:rPr>
          <w:color w:val="1F2A44"/>
        </w:rPr>
        <w:t>1.4 CTA — Reibungsverlust unter 3 Sek</w:t>
      </w:r>
    </w:p>
    <w:p>
      <w:r>
        <w:rPr>
          <w:b w:val="0"/>
          <w:i w:val="0"/>
        </w:rPr>
        <w:t>Daten (Unbounce Conversion Benchmark Report 2024):</w:t>
      </w:r>
    </w:p>
    <w:p>
      <w:pPr>
        <w:pStyle w:val="ListBullet"/>
      </w:pPr>
      <w:r>
        <w:t>Buttons mit Erst-Person-Wording („Zeig mir den Preis“) +90 % CTR vs. „Klick hier“</w:t>
      </w:r>
    </w:p>
    <w:p>
      <w:pPr>
        <w:pStyle w:val="ListBullet"/>
      </w:pPr>
      <w:r>
        <w:t>Spezifische Nutzen-CTAs („Spar 20 % bis Sonntag“) +37 % CTR vs. „Jetzt kaufen“</w:t>
      </w:r>
    </w:p>
    <w:p>
      <w:pPr>
        <w:pStyle w:val="ListBullet"/>
      </w:pPr>
      <w:r>
        <w:t>Urgency-Marker („Nur heute“, „Nur 12 Stück“) +28 % CTR</w:t>
      </w:r>
    </w:p>
    <w:p>
      <w:pPr>
        <w:pStyle w:val="ListBullet"/>
      </w:pPr>
      <w:r>
        <w:t>Eine einzelne CTA outperformt mehrere CTAs auf demselben Creative um durchschnittlich 22 %</w:t>
      </w:r>
    </w:p>
    <w:p>
      <w:r>
        <w:br w:type="page"/>
      </w:r>
    </w:p>
    <w:p>
      <w:pPr>
        <w:pStyle w:val="Heading1"/>
      </w:pPr>
      <w:r>
        <w:rPr>
          <w:color w:val="0F172A"/>
        </w:rPr>
        <w:t>2. Plattform-Benchmarks — was als „gut“ gilt</w:t>
      </w:r>
    </w:p>
    <w:p>
      <w:pPr>
        <w:pStyle w:val="Heading2"/>
      </w:pPr>
      <w:r>
        <w:rPr>
          <w:color w:val="1F2A44"/>
        </w:rPr>
        <w:t>2.1 CTR-Benchmarks 2024 (alle Branchen)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28"/>
            <w:shd w:val="clear" w:color="auto" w:fill="0F172A"/>
          </w:tcPr>
          <w:p>
            <w:r/>
            <w:r>
              <w:rPr>
                <w:b/>
                <w:color w:val="FFFFFF"/>
              </w:rPr>
              <w:t>Plattform</w:t>
            </w:r>
          </w:p>
        </w:tc>
        <w:tc>
          <w:tcPr>
            <w:tcW w:type="dxa" w:w="1701"/>
            <w:shd w:val="clear" w:color="auto" w:fill="0F172A"/>
          </w:tcPr>
          <w:p>
            <w:r/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1247"/>
            <w:shd w:val="clear" w:color="auto" w:fill="0F172A"/>
          </w:tcPr>
          <w:p>
            <w:r/>
            <w:r>
              <w:rPr>
                <w:b/>
                <w:color w:val="FFFFFF"/>
              </w:rPr>
              <w:t>Avg CTR</w:t>
            </w:r>
          </w:p>
        </w:tc>
        <w:tc>
          <w:tcPr>
            <w:tcW w:type="dxa" w:w="1417"/>
            <w:shd w:val="clear" w:color="auto" w:fill="0F172A"/>
          </w:tcPr>
          <w:p>
            <w:r/>
            <w:r>
              <w:rPr>
                <w:b/>
                <w:color w:val="FFFFFF"/>
              </w:rPr>
              <w:t>Top 10 % CTR</w:t>
            </w:r>
          </w:p>
        </w:tc>
        <w:tc>
          <w:tcPr>
            <w:tcW w:type="dxa" w:w="1417"/>
            <w:shd w:val="clear" w:color="auto" w:fill="0F172A"/>
          </w:tcPr>
          <w:p>
            <w:r/>
            <w:r>
              <w:rPr>
                <w:b/>
                <w:color w:val="FFFFFF"/>
              </w:rPr>
              <w:t>Avg CPM</w:t>
            </w:r>
          </w:p>
        </w:tc>
      </w:tr>
      <w:tr>
        <w:tc>
          <w:tcPr>
            <w:tcW w:type="dxa" w:w="1928"/>
          </w:tcPr>
          <w:p>
            <w:r>
              <w:t>Meta Feed</w:t>
            </w:r>
          </w:p>
        </w:tc>
        <w:tc>
          <w:tcPr>
            <w:tcW w:type="dxa" w:w="1701"/>
          </w:tcPr>
          <w:p>
            <w:r>
              <w:t>Static 1:1</w:t>
            </w:r>
          </w:p>
        </w:tc>
        <w:tc>
          <w:tcPr>
            <w:tcW w:type="dxa" w:w="1247"/>
          </w:tcPr>
          <w:p>
            <w:r>
              <w:t>0,9 %</w:t>
            </w:r>
          </w:p>
        </w:tc>
        <w:tc>
          <w:tcPr>
            <w:tcW w:type="dxa" w:w="1417"/>
          </w:tcPr>
          <w:p>
            <w:r>
              <w:t>2,1 %</w:t>
            </w:r>
          </w:p>
        </w:tc>
        <w:tc>
          <w:tcPr>
            <w:tcW w:type="dxa" w:w="1417"/>
          </w:tcPr>
          <w:p>
            <w:r>
              <w:t>8–14 €</w:t>
            </w:r>
          </w:p>
        </w:tc>
      </w:tr>
      <w:tr>
        <w:tc>
          <w:tcPr>
            <w:tcW w:type="dxa" w:w="1928"/>
          </w:tcPr>
          <w:p>
            <w:r>
              <w:t>Meta Feed</w:t>
            </w:r>
          </w:p>
        </w:tc>
        <w:tc>
          <w:tcPr>
            <w:tcW w:type="dxa" w:w="1701"/>
          </w:tcPr>
          <w:p>
            <w:r>
              <w:t>Video 4:5</w:t>
            </w:r>
          </w:p>
        </w:tc>
        <w:tc>
          <w:tcPr>
            <w:tcW w:type="dxa" w:w="1247"/>
          </w:tcPr>
          <w:p>
            <w:r>
              <w:t>1,4 %</w:t>
            </w:r>
          </w:p>
        </w:tc>
        <w:tc>
          <w:tcPr>
            <w:tcW w:type="dxa" w:w="1417"/>
          </w:tcPr>
          <w:p>
            <w:r>
              <w:t>3,0 %</w:t>
            </w:r>
          </w:p>
        </w:tc>
        <w:tc>
          <w:tcPr>
            <w:tcW w:type="dxa" w:w="1417"/>
          </w:tcPr>
          <w:p>
            <w:r>
              <w:t>9–16 €</w:t>
            </w:r>
          </w:p>
        </w:tc>
      </w:tr>
      <w:tr>
        <w:tc>
          <w:tcPr>
            <w:tcW w:type="dxa" w:w="1928"/>
          </w:tcPr>
          <w:p>
            <w:r>
              <w:t>Meta Reels</w:t>
            </w:r>
          </w:p>
        </w:tc>
        <w:tc>
          <w:tcPr>
            <w:tcW w:type="dxa" w:w="1701"/>
          </w:tcPr>
          <w:p>
            <w:r>
              <w:t>Video 9:16</w:t>
            </w:r>
          </w:p>
        </w:tc>
        <w:tc>
          <w:tcPr>
            <w:tcW w:type="dxa" w:w="1247"/>
          </w:tcPr>
          <w:p>
            <w:r>
              <w:t>1,8 %</w:t>
            </w:r>
          </w:p>
        </w:tc>
        <w:tc>
          <w:tcPr>
            <w:tcW w:type="dxa" w:w="1417"/>
          </w:tcPr>
          <w:p>
            <w:r>
              <w:t>4,2 %</w:t>
            </w:r>
          </w:p>
        </w:tc>
        <w:tc>
          <w:tcPr>
            <w:tcW w:type="dxa" w:w="1417"/>
          </w:tcPr>
          <w:p>
            <w:r>
              <w:t>6–11 €</w:t>
            </w:r>
          </w:p>
        </w:tc>
      </w:tr>
      <w:tr>
        <w:tc>
          <w:tcPr>
            <w:tcW w:type="dxa" w:w="1928"/>
          </w:tcPr>
          <w:p>
            <w:r>
              <w:t>Instagram Story</w:t>
            </w:r>
          </w:p>
        </w:tc>
        <w:tc>
          <w:tcPr>
            <w:tcW w:type="dxa" w:w="1701"/>
          </w:tcPr>
          <w:p>
            <w:r>
              <w:t>9:16</w:t>
            </w:r>
          </w:p>
        </w:tc>
        <w:tc>
          <w:tcPr>
            <w:tcW w:type="dxa" w:w="1247"/>
          </w:tcPr>
          <w:p>
            <w:r>
              <w:t>0,8 %</w:t>
            </w:r>
          </w:p>
        </w:tc>
        <w:tc>
          <w:tcPr>
            <w:tcW w:type="dxa" w:w="1417"/>
          </w:tcPr>
          <w:p>
            <w:r>
              <w:t>1,9 %</w:t>
            </w:r>
          </w:p>
        </w:tc>
        <w:tc>
          <w:tcPr>
            <w:tcW w:type="dxa" w:w="1417"/>
          </w:tcPr>
          <w:p>
            <w:r>
              <w:t>7–12 €</w:t>
            </w:r>
          </w:p>
        </w:tc>
      </w:tr>
      <w:tr>
        <w:tc>
          <w:tcPr>
            <w:tcW w:type="dxa" w:w="1928"/>
          </w:tcPr>
          <w:p>
            <w:r>
              <w:t>TikTok In-Feed</w:t>
            </w:r>
          </w:p>
        </w:tc>
        <w:tc>
          <w:tcPr>
            <w:tcW w:type="dxa" w:w="1701"/>
          </w:tcPr>
          <w:p>
            <w:r>
              <w:t>Video 9:16</w:t>
            </w:r>
          </w:p>
        </w:tc>
        <w:tc>
          <w:tcPr>
            <w:tcW w:type="dxa" w:w="1247"/>
          </w:tcPr>
          <w:p>
            <w:r>
              <w:t>1,9 %</w:t>
            </w:r>
          </w:p>
        </w:tc>
        <w:tc>
          <w:tcPr>
            <w:tcW w:type="dxa" w:w="1417"/>
          </w:tcPr>
          <w:p>
            <w:r>
              <w:t>5,8 %</w:t>
            </w:r>
          </w:p>
        </w:tc>
        <w:tc>
          <w:tcPr>
            <w:tcW w:type="dxa" w:w="1417"/>
          </w:tcPr>
          <w:p>
            <w:r>
              <w:t>5–10 €</w:t>
            </w:r>
          </w:p>
        </w:tc>
      </w:tr>
      <w:tr>
        <w:tc>
          <w:tcPr>
            <w:tcW w:type="dxa" w:w="1928"/>
          </w:tcPr>
          <w:p>
            <w:r>
              <w:t>TikTok Spark Ads</w:t>
            </w:r>
          </w:p>
        </w:tc>
        <w:tc>
          <w:tcPr>
            <w:tcW w:type="dxa" w:w="1701"/>
          </w:tcPr>
          <w:p>
            <w:r>
              <w:t>UGC 9:16</w:t>
            </w:r>
          </w:p>
        </w:tc>
        <w:tc>
          <w:tcPr>
            <w:tcW w:type="dxa" w:w="1247"/>
          </w:tcPr>
          <w:p>
            <w:r>
              <w:t>2,4 %</w:t>
            </w:r>
          </w:p>
        </w:tc>
        <w:tc>
          <w:tcPr>
            <w:tcW w:type="dxa" w:w="1417"/>
          </w:tcPr>
          <w:p>
            <w:r>
              <w:t>7,1 %</w:t>
            </w:r>
          </w:p>
        </w:tc>
        <w:tc>
          <w:tcPr>
            <w:tcW w:type="dxa" w:w="1417"/>
          </w:tcPr>
          <w:p>
            <w:r>
              <w:t>4–9 €</w:t>
            </w:r>
          </w:p>
        </w:tc>
      </w:tr>
      <w:tr>
        <w:tc>
          <w:tcPr>
            <w:tcW w:type="dxa" w:w="1928"/>
          </w:tcPr>
          <w:p>
            <w:r>
              <w:t>YouTube Shorts</w:t>
            </w:r>
          </w:p>
        </w:tc>
        <w:tc>
          <w:tcPr>
            <w:tcW w:type="dxa" w:w="1701"/>
          </w:tcPr>
          <w:p>
            <w:r>
              <w:t>Video 9:16</w:t>
            </w:r>
          </w:p>
        </w:tc>
        <w:tc>
          <w:tcPr>
            <w:tcW w:type="dxa" w:w="1247"/>
          </w:tcPr>
          <w:p>
            <w:r>
              <w:t>1,2 %</w:t>
            </w:r>
          </w:p>
        </w:tc>
        <w:tc>
          <w:tcPr>
            <w:tcW w:type="dxa" w:w="1417"/>
          </w:tcPr>
          <w:p>
            <w:r>
              <w:t>3,4 %</w:t>
            </w:r>
          </w:p>
        </w:tc>
        <w:tc>
          <w:tcPr>
            <w:tcW w:type="dxa" w:w="1417"/>
          </w:tcPr>
          <w:p>
            <w:r>
              <w:t>4–8 €</w:t>
            </w:r>
          </w:p>
        </w:tc>
      </w:tr>
      <w:tr>
        <w:tc>
          <w:tcPr>
            <w:tcW w:type="dxa" w:w="1928"/>
          </w:tcPr>
          <w:p>
            <w:r>
              <w:t>LinkedIn Feed</w:t>
            </w:r>
          </w:p>
        </w:tc>
        <w:tc>
          <w:tcPr>
            <w:tcW w:type="dxa" w:w="1701"/>
          </w:tcPr>
          <w:p>
            <w:r>
              <w:t>Static/Carousel</w:t>
            </w:r>
          </w:p>
        </w:tc>
        <w:tc>
          <w:tcPr>
            <w:tcW w:type="dxa" w:w="1247"/>
          </w:tcPr>
          <w:p>
            <w:r>
              <w:t>0,4 %</w:t>
            </w:r>
          </w:p>
        </w:tc>
        <w:tc>
          <w:tcPr>
            <w:tcW w:type="dxa" w:w="1417"/>
          </w:tcPr>
          <w:p>
            <w:r>
              <w:t>1,1 %</w:t>
            </w:r>
          </w:p>
        </w:tc>
        <w:tc>
          <w:tcPr>
            <w:tcW w:type="dxa" w:w="1417"/>
          </w:tcPr>
          <w:p>
            <w:r>
              <w:t>20–35 €</w:t>
            </w:r>
          </w:p>
        </w:tc>
      </w:tr>
    </w:tbl>
    <w:p/>
    <w:p>
      <w:r>
        <w:rPr>
          <w:b w:val="0"/>
          <w:i/>
        </w:rPr>
        <w:t>Quelle: Hootsuite Social Ad Benchmark Report 2024 (n = 1,9 M Ad-Accounts) + Motion-Aggregat.</w:t>
      </w:r>
    </w:p>
    <w:p>
      <w:pPr>
        <w:pStyle w:val="Heading2"/>
      </w:pPr>
      <w:r>
        <w:rPr>
          <w:color w:val="1F2A44"/>
        </w:rPr>
        <w:t>2.2 Video vs. Static — wo lohnt sich welcher Aufwand?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0F172A"/>
          </w:tcPr>
          <w:p>
            <w:r/>
            <w:r>
              <w:rPr>
                <w:b/>
                <w:color w:val="FFFFFF"/>
              </w:rPr>
              <w:t>Kontext</w:t>
            </w:r>
          </w:p>
        </w:tc>
        <w:tc>
          <w:tcPr>
            <w:tcW w:type="dxa" w:w="1984"/>
            <w:shd w:val="clear" w:color="auto" w:fill="0F172A"/>
          </w:tcPr>
          <w:p>
            <w:r/>
            <w:r>
              <w:rPr>
                <w:b/>
                <w:color w:val="FFFFFF"/>
              </w:rPr>
              <w:t>Empfehlung</w:t>
            </w:r>
          </w:p>
        </w:tc>
        <w:tc>
          <w:tcPr>
            <w:tcW w:type="dxa" w:w="3969"/>
            <w:shd w:val="clear" w:color="auto" w:fill="0F172A"/>
          </w:tcPr>
          <w:p>
            <w:r/>
            <w:r>
              <w:rPr>
                <w:b/>
                <w:color w:val="FFFFFF"/>
              </w:rPr>
              <w:t>Begründung</w:t>
            </w:r>
          </w:p>
        </w:tc>
      </w:tr>
      <w:tr>
        <w:tc>
          <w:tcPr>
            <w:tcW w:type="dxa" w:w="2551"/>
          </w:tcPr>
          <w:p>
            <w:r>
              <w:t>Kalte Awareness-Stufe (1–2)</w:t>
            </w:r>
          </w:p>
        </w:tc>
        <w:tc>
          <w:tcPr>
            <w:tcW w:type="dxa" w:w="1984"/>
          </w:tcPr>
          <w:p>
            <w:r>
              <w:t>Reel/Video 6–9 Sek</w:t>
            </w:r>
          </w:p>
        </w:tc>
        <w:tc>
          <w:tcPr>
            <w:tcW w:type="dxa" w:w="3969"/>
          </w:tcPr>
          <w:p>
            <w:r>
              <w:t>Hook braucht Bewegung, Sound-Off-Captions</w:t>
            </w:r>
          </w:p>
        </w:tc>
      </w:tr>
      <w:tr>
        <w:tc>
          <w:tcPr>
            <w:tcW w:type="dxa" w:w="2551"/>
          </w:tcPr>
          <w:p>
            <w:r>
              <w:t>Heiße Stufe (4–5) + Retargeting</w:t>
            </w:r>
          </w:p>
        </w:tc>
        <w:tc>
          <w:tcPr>
            <w:tcW w:type="dxa" w:w="1984"/>
          </w:tcPr>
          <w:p>
            <w:r>
              <w:t>Static 1:1 oder 4:5</w:t>
            </w:r>
          </w:p>
        </w:tc>
        <w:tc>
          <w:tcPr>
            <w:tcW w:type="dxa" w:w="3969"/>
          </w:tcPr>
          <w:p>
            <w:r>
              <w:t>User kennt Produkt -&gt; braucht Spec, Preis, CTA</w:t>
            </w:r>
          </w:p>
        </w:tc>
      </w:tr>
      <w:tr>
        <w:tc>
          <w:tcPr>
            <w:tcW w:type="dxa" w:w="2551"/>
          </w:tcPr>
          <w:p>
            <w:r>
              <w:t>B2B / LinkedIn</w:t>
            </w:r>
          </w:p>
        </w:tc>
        <w:tc>
          <w:tcPr>
            <w:tcW w:type="dxa" w:w="1984"/>
          </w:tcPr>
          <w:p>
            <w:r>
              <w:t>Carousel 3–5 Slides</w:t>
            </w:r>
          </w:p>
        </w:tc>
        <w:tc>
          <w:tcPr>
            <w:tcW w:type="dxa" w:w="3969"/>
          </w:tcPr>
          <w:p>
            <w:r>
              <w:t>Längere Aufmerksamkeit, Slide-Through-Rate misst Engagement</w:t>
            </w:r>
          </w:p>
        </w:tc>
      </w:tr>
      <w:tr>
        <w:tc>
          <w:tcPr>
            <w:tcW w:type="dxa" w:w="2551"/>
          </w:tcPr>
          <w:p>
            <w:r>
              <w:t>TikTok / Spark</w:t>
            </w:r>
          </w:p>
        </w:tc>
        <w:tc>
          <w:tcPr>
            <w:tcW w:type="dxa" w:w="1984"/>
          </w:tcPr>
          <w:p>
            <w:r>
              <w:t>UGC vertikal 9:16</w:t>
            </w:r>
          </w:p>
        </w:tc>
        <w:tc>
          <w:tcPr>
            <w:tcW w:type="dxa" w:w="3969"/>
          </w:tcPr>
          <w:p>
            <w:r>
              <w:t>Authentizität schlägt Produktion (+22 % CTR — Motion)</w:t>
            </w:r>
          </w:p>
        </w:tc>
      </w:tr>
    </w:tbl>
    <w:p/>
    <w:p>
      <w:pPr>
        <w:pStyle w:val="Heading2"/>
      </w:pPr>
      <w:r>
        <w:rPr>
          <w:color w:val="1F2A44"/>
        </w:rPr>
        <w:t>2.3 Sound-On vs. Sound-Off</w:t>
      </w:r>
    </w:p>
    <w:p>
      <w:pPr>
        <w:pStyle w:val="ListBullet"/>
      </w:pPr>
      <w:r>
        <w:t>85 % der Meta-Video-Views laufen stumm (Meta 2023) -&gt; Captions Pflicht</w:t>
      </w:r>
    </w:p>
    <w:p>
      <w:pPr>
        <w:pStyle w:val="ListBullet"/>
      </w:pPr>
      <w:r>
        <w:t>TikTok: 73 % Sound-On (TikTok 2024) -&gt; Audio-Hook im ersten Beat möglich</w:t>
      </w:r>
    </w:p>
    <w:p>
      <w:pPr>
        <w:pStyle w:val="ListBullet"/>
      </w:pPr>
      <w:r>
        <w:t>YouTube Shorts: 64 % Sound-On -&gt; Sprecher-Voice-Over funktioniert</w:t>
      </w:r>
    </w:p>
    <w:p>
      <w:r>
        <w:br w:type="page"/>
      </w:r>
    </w:p>
    <w:p>
      <w:pPr>
        <w:pStyle w:val="Heading1"/>
      </w:pPr>
      <w:r>
        <w:rPr>
          <w:color w:val="0F172A"/>
        </w:rPr>
        <w:t>3. Die 12 Hook-Muster — mit messbarem Lift</w:t>
      </w:r>
    </w:p>
    <w:p>
      <w:r>
        <w:rPr>
          <w:b w:val="0"/>
          <w:i/>
        </w:rPr>
        <w:t>Basis: Meta Creative Best Practice Library + Hookpoint (Brendan Kane, n = 4.000 viral posts) + Motion Hook-Tagging-Dataset 2024 (n = 51.000).</w:t>
      </w:r>
    </w:p>
    <w:p>
      <w:r>
        <w:rPr>
          <w:b w:val="0"/>
          <w:i/>
        </w:rPr>
        <w:t>Lift = relative CTR-Steigerung gegenüber Branchen-Median in derselben Kategorie.</w:t>
      </w:r>
    </w:p>
    <w:p>
      <w:pPr>
        <w:pStyle w:val="Heading2"/>
      </w:pPr>
      <w:r>
        <w:rPr>
          <w:color w:val="1F2A44"/>
        </w:rPr>
        <w:t>3.1 Übersicht (sortiert nach Lift)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567"/>
            <w:shd w:val="clear" w:color="auto" w:fill="0F172A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928"/>
            <w:shd w:val="clear" w:color="auto" w:fill="0F172A"/>
          </w:tcPr>
          <w:p>
            <w:r/>
            <w:r>
              <w:rPr>
                <w:b/>
                <w:color w:val="FFFFFF"/>
              </w:rPr>
              <w:t>Hook-Muster</w:t>
            </w:r>
          </w:p>
        </w:tc>
        <w:tc>
          <w:tcPr>
            <w:tcW w:type="dxa" w:w="2494"/>
            <w:shd w:val="clear" w:color="auto" w:fill="0F172A"/>
          </w:tcPr>
          <w:p>
            <w:r/>
            <w:r>
              <w:rPr>
                <w:b/>
                <w:color w:val="FFFFFF"/>
              </w:rPr>
              <w:t>Beispiel</w:t>
            </w:r>
          </w:p>
        </w:tc>
        <w:tc>
          <w:tcPr>
            <w:tcW w:type="dxa" w:w="1134"/>
            <w:shd w:val="clear" w:color="auto" w:fill="0F172A"/>
          </w:tcPr>
          <w:p>
            <w:r/>
            <w:r>
              <w:rPr>
                <w:b/>
                <w:color w:val="FFFFFF"/>
              </w:rPr>
              <w:t>Avg Lift</w:t>
            </w:r>
          </w:p>
        </w:tc>
        <w:tc>
          <w:tcPr>
            <w:tcW w:type="dxa" w:w="1134"/>
            <w:shd w:val="clear" w:color="auto" w:fill="0F172A"/>
          </w:tcPr>
          <w:p>
            <w:r/>
            <w:r>
              <w:rPr>
                <w:b/>
                <w:color w:val="FFFFFF"/>
              </w:rPr>
              <w:t>Awareness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1928"/>
          </w:tcPr>
          <w:p>
            <w:r>
              <w:t>Specific Number</w:t>
            </w:r>
          </w:p>
        </w:tc>
        <w:tc>
          <w:tcPr>
            <w:tcW w:type="dxa" w:w="2494"/>
          </w:tcPr>
          <w:p>
            <w:r>
              <w:t>„89 % weniger Verschleiß in 1.000 km“</w:t>
            </w:r>
          </w:p>
        </w:tc>
        <w:tc>
          <w:tcPr>
            <w:tcW w:type="dxa" w:w="1134"/>
          </w:tcPr>
          <w:p>
            <w:r>
              <w:t>+187 %</w:t>
            </w:r>
          </w:p>
        </w:tc>
        <w:tc>
          <w:tcPr>
            <w:tcW w:type="dxa" w:w="1134"/>
          </w:tcPr>
          <w:p>
            <w:r>
              <w:t>3–5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1928"/>
          </w:tcPr>
          <w:p>
            <w:r>
              <w:t>Before/After Reveal</w:t>
            </w:r>
          </w:p>
        </w:tc>
        <w:tc>
          <w:tcPr>
            <w:tcW w:type="dxa" w:w="2494"/>
          </w:tcPr>
          <w:p>
            <w:r>
              <w:t>„Tag 0 vs. Tag 14“</w:t>
            </w:r>
          </w:p>
        </w:tc>
        <w:tc>
          <w:tcPr>
            <w:tcW w:type="dxa" w:w="1134"/>
          </w:tcPr>
          <w:p>
            <w:r>
              <w:t>+162 %</w:t>
            </w:r>
          </w:p>
        </w:tc>
        <w:tc>
          <w:tcPr>
            <w:tcW w:type="dxa" w:w="1134"/>
          </w:tcPr>
          <w:p>
            <w:r>
              <w:t>2–4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1928"/>
          </w:tcPr>
          <w:p>
            <w:r>
              <w:t>Pattern Interrupt</w:t>
            </w:r>
          </w:p>
        </w:tc>
        <w:tc>
          <w:tcPr>
            <w:tcW w:type="dxa" w:w="2494"/>
          </w:tcPr>
          <w:p>
            <w:r>
              <w:t>Unerwartete Visual-Bewegung Sek 0</w:t>
            </w:r>
          </w:p>
        </w:tc>
        <w:tc>
          <w:tcPr>
            <w:tcW w:type="dxa" w:w="1134"/>
          </w:tcPr>
          <w:p>
            <w:r>
              <w:t>+148 %</w:t>
            </w:r>
          </w:p>
        </w:tc>
        <w:tc>
          <w:tcPr>
            <w:tcW w:type="dxa" w:w="1134"/>
          </w:tcPr>
          <w:p>
            <w:r>
              <w:t>1–3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1928"/>
          </w:tcPr>
          <w:p>
            <w:r>
              <w:t>Question / Curiosity Gap</w:t>
            </w:r>
          </w:p>
        </w:tc>
        <w:tc>
          <w:tcPr>
            <w:tcW w:type="dxa" w:w="2494"/>
          </w:tcPr>
          <w:p>
            <w:r>
              <w:t>„Warum verlieren Motoren 40 % …?“</w:t>
            </w:r>
          </w:p>
        </w:tc>
        <w:tc>
          <w:tcPr>
            <w:tcW w:type="dxa" w:w="1134"/>
          </w:tcPr>
          <w:p>
            <w:r>
              <w:t>+131 %</w:t>
            </w:r>
          </w:p>
        </w:tc>
        <w:tc>
          <w:tcPr>
            <w:tcW w:type="dxa" w:w="1134"/>
          </w:tcPr>
          <w:p>
            <w:r>
              <w:t>2–4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1928"/>
          </w:tcPr>
          <w:p>
            <w:r>
              <w:t>Negation / Forbidden</w:t>
            </w:r>
          </w:p>
        </w:tc>
        <w:tc>
          <w:tcPr>
            <w:tcW w:type="dxa" w:w="2494"/>
          </w:tcPr>
          <w:p>
            <w:r>
              <w:t>„Mach NICHT diesen Fehler bei …“</w:t>
            </w:r>
          </w:p>
        </w:tc>
        <w:tc>
          <w:tcPr>
            <w:tcW w:type="dxa" w:w="1134"/>
          </w:tcPr>
          <w:p>
            <w:r>
              <w:t>+126 %</w:t>
            </w:r>
          </w:p>
        </w:tc>
        <w:tc>
          <w:tcPr>
            <w:tcW w:type="dxa" w:w="1134"/>
          </w:tcPr>
          <w:p>
            <w:r>
              <w:t>2–3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1928"/>
          </w:tcPr>
          <w:p>
            <w:r>
              <w:t>Bold Contrarian Claim</w:t>
            </w:r>
          </w:p>
        </w:tc>
        <w:tc>
          <w:tcPr>
            <w:tcW w:type="dxa" w:w="2494"/>
          </w:tcPr>
          <w:p>
            <w:r>
              <w:t>„Vergiss alles, was du über Öl weißt“</w:t>
            </w:r>
          </w:p>
        </w:tc>
        <w:tc>
          <w:tcPr>
            <w:tcW w:type="dxa" w:w="1134"/>
          </w:tcPr>
          <w:p>
            <w:r>
              <w:t>+118 %</w:t>
            </w:r>
          </w:p>
        </w:tc>
        <w:tc>
          <w:tcPr>
            <w:tcW w:type="dxa" w:w="1134"/>
          </w:tcPr>
          <w:p>
            <w:r>
              <w:t>1–3</w:t>
            </w:r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1928"/>
          </w:tcPr>
          <w:p>
            <w:r>
              <w:t>Problem-Agitate</w:t>
            </w:r>
          </w:p>
        </w:tc>
        <w:tc>
          <w:tcPr>
            <w:tcW w:type="dxa" w:w="2494"/>
          </w:tcPr>
          <w:p>
            <w:r>
              <w:t>„Klacker-Geräusch im Motor? Das ist warum.“</w:t>
            </w:r>
          </w:p>
        </w:tc>
        <w:tc>
          <w:tcPr>
            <w:tcW w:type="dxa" w:w="1134"/>
          </w:tcPr>
          <w:p>
            <w:r>
              <w:t>+109 %</w:t>
            </w:r>
          </w:p>
        </w:tc>
        <w:tc>
          <w:tcPr>
            <w:tcW w:type="dxa" w:w="1134"/>
          </w:tcPr>
          <w:p>
            <w:r>
              <w:t>2–3</w:t>
            </w:r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1928"/>
          </w:tcPr>
          <w:p>
            <w:r>
              <w:t>List-Promise</w:t>
            </w:r>
          </w:p>
        </w:tc>
        <w:tc>
          <w:tcPr>
            <w:tcW w:type="dxa" w:w="2494"/>
          </w:tcPr>
          <w:p>
            <w:r>
              <w:t>„3 Fehler, die deinen Motor töten“</w:t>
            </w:r>
          </w:p>
        </w:tc>
        <w:tc>
          <w:tcPr>
            <w:tcW w:type="dxa" w:w="1134"/>
          </w:tcPr>
          <w:p>
            <w:r>
              <w:t>+102 %</w:t>
            </w:r>
          </w:p>
        </w:tc>
        <w:tc>
          <w:tcPr>
            <w:tcW w:type="dxa" w:w="1134"/>
          </w:tcPr>
          <w:p>
            <w:r>
              <w:t>2–4</w:t>
            </w:r>
          </w:p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1928"/>
          </w:tcPr>
          <w:p>
            <w:r>
              <w:t>Demonstration</w:t>
            </w:r>
          </w:p>
        </w:tc>
        <w:tc>
          <w:tcPr>
            <w:tcW w:type="dxa" w:w="2494"/>
          </w:tcPr>
          <w:p>
            <w:r>
              <w:t>Side-by-Side-Live-Test</w:t>
            </w:r>
          </w:p>
        </w:tc>
        <w:tc>
          <w:tcPr>
            <w:tcW w:type="dxa" w:w="1134"/>
          </w:tcPr>
          <w:p>
            <w:r>
              <w:t>+97 %</w:t>
            </w:r>
          </w:p>
        </w:tc>
        <w:tc>
          <w:tcPr>
            <w:tcW w:type="dxa" w:w="1134"/>
          </w:tcPr>
          <w:p>
            <w:r>
              <w:t>3–5</w:t>
            </w:r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1928"/>
          </w:tcPr>
          <w:p>
            <w:r>
              <w:t>Social Proof</w:t>
            </w:r>
          </w:p>
        </w:tc>
        <w:tc>
          <w:tcPr>
            <w:tcW w:type="dxa" w:w="2494"/>
          </w:tcPr>
          <w:p>
            <w:r>
              <w:t>„7.412 Werkstätten setzen auf …“</w:t>
            </w:r>
          </w:p>
        </w:tc>
        <w:tc>
          <w:tcPr>
            <w:tcW w:type="dxa" w:w="1134"/>
          </w:tcPr>
          <w:p>
            <w:r>
              <w:t>+84 %</w:t>
            </w:r>
          </w:p>
        </w:tc>
        <w:tc>
          <w:tcPr>
            <w:tcW w:type="dxa" w:w="1134"/>
          </w:tcPr>
          <w:p>
            <w:r>
              <w:t>3–5</w:t>
            </w:r>
          </w:p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1928"/>
          </w:tcPr>
          <w:p>
            <w:r>
              <w:t>Authority</w:t>
            </w:r>
          </w:p>
        </w:tc>
        <w:tc>
          <w:tcPr>
            <w:tcW w:type="dxa" w:w="2494"/>
          </w:tcPr>
          <w:p>
            <w:r>
              <w:t>„KFZ-Meister erklärt …“</w:t>
            </w:r>
          </w:p>
        </w:tc>
        <w:tc>
          <w:tcPr>
            <w:tcW w:type="dxa" w:w="1134"/>
          </w:tcPr>
          <w:p>
            <w:r>
              <w:t>+76 %</w:t>
            </w:r>
          </w:p>
        </w:tc>
        <w:tc>
          <w:tcPr>
            <w:tcW w:type="dxa" w:w="1134"/>
          </w:tcPr>
          <w:p>
            <w:r>
              <w:t>2–4</w:t>
            </w:r>
          </w:p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1928"/>
          </w:tcPr>
          <w:p>
            <w:r>
              <w:t>Personal Story</w:t>
            </w:r>
          </w:p>
        </w:tc>
        <w:tc>
          <w:tcPr>
            <w:tcW w:type="dxa" w:w="2494"/>
          </w:tcPr>
          <w:p>
            <w:r>
              <w:t>„Mein Motor lief 380.000 km — hier ist warum“</w:t>
            </w:r>
          </w:p>
        </w:tc>
        <w:tc>
          <w:tcPr>
            <w:tcW w:type="dxa" w:w="1134"/>
          </w:tcPr>
          <w:p>
            <w:r>
              <w:t>+71 %</w:t>
            </w:r>
          </w:p>
        </w:tc>
        <w:tc>
          <w:tcPr>
            <w:tcW w:type="dxa" w:w="1134"/>
          </w:tcPr>
          <w:p>
            <w:r>
              <w:t>2–4</w:t>
            </w:r>
          </w:p>
        </w:tc>
      </w:tr>
    </w:tbl>
    <w:p/>
    <w:p>
      <w:pPr>
        <w:pStyle w:val="Heading2"/>
      </w:pPr>
      <w:r>
        <w:rPr>
          <w:color w:val="1F2A44"/>
        </w:rPr>
        <w:t>3.2 Hook-Mechanik — was im Hintergrund passiert</w:t>
      </w:r>
    </w:p>
    <w:p>
      <w:r>
        <w:rPr>
          <w:b/>
          <w:i w:val="0"/>
        </w:rPr>
        <w:t>Jeder Top-Hook nutzt mindestens einen dieser 4 neuropsychologischen Auslöser:</w:t>
      </w:r>
    </w:p>
    <w:p>
      <w:pPr>
        <w:pStyle w:val="ListBullet"/>
      </w:pPr>
      <w:r>
        <w:t>Information Gap (Loewenstein): Hirn erzeugt Spannung, will Auflösung</w:t>
      </w:r>
    </w:p>
    <w:p>
      <w:pPr>
        <w:pStyle w:val="ListBullet"/>
      </w:pPr>
      <w:r>
        <w:t>Status-Threat: Wenn ich es NICHT weiß, bin ich der Dumme</w:t>
      </w:r>
    </w:p>
    <w:p>
      <w:pPr>
        <w:pStyle w:val="ListBullet"/>
      </w:pPr>
      <w:r>
        <w:t>Pattern Violation: Auge stoppt bei unerwarteter Bewegung/Größe/Farbe</w:t>
      </w:r>
    </w:p>
    <w:p>
      <w:pPr>
        <w:pStyle w:val="ListBullet"/>
      </w:pPr>
      <w:r>
        <w:t>Identity Trigger: „Das bin ich“ / „Das ist mein Problem“</w:t>
      </w:r>
    </w:p>
    <w:p>
      <w:pPr>
        <w:pStyle w:val="Heading2"/>
      </w:pPr>
      <w:r>
        <w:rPr>
          <w:color w:val="1F2A44"/>
        </w:rPr>
        <w:t>3.3 Hook-Anti-Patterns (vermeide aktiv)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54"/>
            <w:shd w:val="clear" w:color="auto" w:fill="0F172A"/>
          </w:tcPr>
          <w:p>
            <w:r/>
            <w:r>
              <w:rPr>
                <w:b/>
                <w:color w:val="FFFFFF"/>
              </w:rPr>
              <w:t>Anti-Pattern</w:t>
            </w:r>
          </w:p>
        </w:tc>
        <w:tc>
          <w:tcPr>
            <w:tcW w:type="dxa" w:w="4082"/>
            <w:shd w:val="clear" w:color="auto" w:fill="0F172A"/>
          </w:tcPr>
          <w:p>
            <w:r/>
            <w:r>
              <w:rPr>
                <w:b/>
                <w:color w:val="FFFFFF"/>
              </w:rPr>
              <w:t>Warum es nicht funktioniert</w:t>
            </w:r>
          </w:p>
        </w:tc>
        <w:tc>
          <w:tcPr>
            <w:tcW w:type="dxa" w:w="1134"/>
            <w:shd w:val="clear" w:color="auto" w:fill="0F172A"/>
          </w:tcPr>
          <w:p>
            <w:r/>
            <w:r>
              <w:rPr>
                <w:b/>
                <w:color w:val="FFFFFF"/>
              </w:rPr>
              <w:t>Avg Lift</w:t>
            </w:r>
          </w:p>
        </w:tc>
      </w:tr>
      <w:tr>
        <w:tc>
          <w:tcPr>
            <w:tcW w:type="dxa" w:w="2154"/>
          </w:tcPr>
          <w:p>
            <w:r>
              <w:t>Markenname als Hook</w:t>
            </w:r>
          </w:p>
        </w:tc>
        <w:tc>
          <w:tcPr>
            <w:tcW w:type="dxa" w:w="4082"/>
          </w:tcPr>
          <w:p>
            <w:r>
              <w:t>User kennt Marke nicht / ist egal</w:t>
            </w:r>
          </w:p>
        </w:tc>
        <w:tc>
          <w:tcPr>
            <w:tcW w:type="dxa" w:w="1134"/>
          </w:tcPr>
          <w:p>
            <w:r>
              <w:t>–34 %</w:t>
            </w:r>
          </w:p>
        </w:tc>
      </w:tr>
      <w:tr>
        <w:tc>
          <w:tcPr>
            <w:tcW w:type="dxa" w:w="2154"/>
          </w:tcPr>
          <w:p>
            <w:r>
              <w:t>„Wir haben …“</w:t>
            </w:r>
          </w:p>
        </w:tc>
        <w:tc>
          <w:tcPr>
            <w:tcW w:type="dxa" w:w="4082"/>
          </w:tcPr>
          <w:p>
            <w:r>
              <w:t>Ego-zentriert statt User-zentriert</w:t>
            </w:r>
          </w:p>
        </w:tc>
        <w:tc>
          <w:tcPr>
            <w:tcW w:type="dxa" w:w="1134"/>
          </w:tcPr>
          <w:p>
            <w:r>
              <w:t>–28 %</w:t>
            </w:r>
          </w:p>
        </w:tc>
      </w:tr>
      <w:tr>
        <w:tc>
          <w:tcPr>
            <w:tcW w:type="dxa" w:w="2154"/>
          </w:tcPr>
          <w:p>
            <w:r>
              <w:t>Generischer Slogan</w:t>
            </w:r>
          </w:p>
        </w:tc>
        <w:tc>
          <w:tcPr>
            <w:tcW w:type="dxa" w:w="4082"/>
          </w:tcPr>
          <w:p>
            <w:r>
              <w:t>Kein Information Gap, kein Trigger</w:t>
            </w:r>
          </w:p>
        </w:tc>
        <w:tc>
          <w:tcPr>
            <w:tcW w:type="dxa" w:w="1134"/>
          </w:tcPr>
          <w:p>
            <w:r>
              <w:t>–22 %</w:t>
            </w:r>
          </w:p>
        </w:tc>
      </w:tr>
      <w:tr>
        <w:tc>
          <w:tcPr>
            <w:tcW w:type="dxa" w:w="2154"/>
          </w:tcPr>
          <w:p>
            <w:r>
              <w:t>Stockfoto-Lifestyle</w:t>
            </w:r>
          </w:p>
        </w:tc>
        <w:tc>
          <w:tcPr>
            <w:tcW w:type="dxa" w:w="4082"/>
          </w:tcPr>
          <w:p>
            <w:r>
              <w:t>Pattern Recognition: „Werbung“ -&gt; Scroll</w:t>
            </w:r>
          </w:p>
        </w:tc>
        <w:tc>
          <w:tcPr>
            <w:tcW w:type="dxa" w:w="1134"/>
          </w:tcPr>
          <w:p>
            <w:r>
              <w:t>–41 %</w:t>
            </w:r>
          </w:p>
        </w:tc>
      </w:tr>
      <w:tr>
        <w:tc>
          <w:tcPr>
            <w:tcW w:type="dxa" w:w="2154"/>
          </w:tcPr>
          <w:p>
            <w:r>
              <w:t>Logo zentral groß</w:t>
            </w:r>
          </w:p>
        </w:tc>
        <w:tc>
          <w:tcPr>
            <w:tcW w:type="dxa" w:w="4082"/>
          </w:tcPr>
          <w:p>
            <w:r>
              <w:t>Verbrennt 1. Sek Aufmerksamkeit</w:t>
            </w:r>
          </w:p>
        </w:tc>
        <w:tc>
          <w:tcPr>
            <w:tcW w:type="dxa" w:w="1134"/>
          </w:tcPr>
          <w:p>
            <w:r>
              <w:t>–19 %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F172A"/>
        </w:rPr>
        <w:t>4. Holds — Aufmerksamkeit nach dem Hook halten</w:t>
      </w:r>
    </w:p>
    <w:p>
      <w:r>
        <w:rPr>
          <w:b w:val="0"/>
          <w:i w:val="0"/>
        </w:rPr>
        <w:t>Der Hook bringt das Auge — der Hold bringt den Klick. Daten (TikTok Top-Performer-Studie + VidIQ Watch-Time-Analyse 2024):</w:t>
      </w:r>
    </w:p>
    <w:p>
      <w:pPr>
        <w:pStyle w:val="Heading2"/>
      </w:pPr>
      <w:r>
        <w:rPr>
          <w:color w:val="1F2A44"/>
        </w:rPr>
        <w:t>4.1 Die 6 Hold-Mechaniken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val="clear" w:color="auto" w:fill="0F172A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041"/>
            <w:shd w:val="clear" w:color="auto" w:fill="0F172A"/>
          </w:tcPr>
          <w:p>
            <w:r/>
            <w:r>
              <w:rPr>
                <w:b/>
                <w:color w:val="FFFFFF"/>
              </w:rPr>
              <w:t>Mechanik</w:t>
            </w:r>
          </w:p>
        </w:tc>
        <w:tc>
          <w:tcPr>
            <w:tcW w:type="dxa" w:w="4309"/>
            <w:shd w:val="clear" w:color="auto" w:fill="0F172A"/>
          </w:tcPr>
          <w:p>
            <w:r/>
            <w:r>
              <w:rPr>
                <w:b/>
                <w:color w:val="FFFFFF"/>
              </w:rPr>
              <w:t>Wirkprinzip</w:t>
            </w:r>
          </w:p>
        </w:tc>
        <w:tc>
          <w:tcPr>
            <w:tcW w:type="dxa" w:w="1417"/>
            <w:shd w:val="clear" w:color="auto" w:fill="0F172A"/>
          </w:tcPr>
          <w:p>
            <w:r/>
            <w:r>
              <w:rPr>
                <w:b/>
                <w:color w:val="FFFFFF"/>
              </w:rPr>
              <w:t>Avg Watch-Time-Lift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2041"/>
          </w:tcPr>
          <w:p>
            <w:r>
              <w:t>Open Loop</w:t>
            </w:r>
          </w:p>
        </w:tc>
        <w:tc>
          <w:tcPr>
            <w:tcW w:type="dxa" w:w="4309"/>
          </w:tcPr>
          <w:p>
            <w:r>
              <w:t>Frage in Sek 2 stellen, in Sek 8 auflösen</w:t>
            </w:r>
          </w:p>
        </w:tc>
        <w:tc>
          <w:tcPr>
            <w:tcW w:type="dxa" w:w="1417"/>
          </w:tcPr>
          <w:p>
            <w:r>
              <w:t>+34 %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041"/>
          </w:tcPr>
          <w:p>
            <w:r>
              <w:t>Visual Variety</w:t>
            </w:r>
          </w:p>
        </w:tc>
        <w:tc>
          <w:tcPr>
            <w:tcW w:type="dxa" w:w="4309"/>
          </w:tcPr>
          <w:p>
            <w:r>
              <w:t>Cut alle 1–2 Sek, Kamerawinkel wechseln</w:t>
            </w:r>
          </w:p>
        </w:tc>
        <w:tc>
          <w:tcPr>
            <w:tcW w:type="dxa" w:w="1417"/>
          </w:tcPr>
          <w:p>
            <w:r>
              <w:t>+29 %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2041"/>
          </w:tcPr>
          <w:p>
            <w:r>
              <w:t>Progressive Disclosure</w:t>
            </w:r>
          </w:p>
        </w:tc>
        <w:tc>
          <w:tcPr>
            <w:tcW w:type="dxa" w:w="4309"/>
          </w:tcPr>
          <w:p>
            <w:r>
              <w:t>Schritt 1 -&gt; Schritt 2 -&gt; Schritt 3 …</w:t>
            </w:r>
          </w:p>
        </w:tc>
        <w:tc>
          <w:tcPr>
            <w:tcW w:type="dxa" w:w="1417"/>
          </w:tcPr>
          <w:p>
            <w:r>
              <w:t>+26 %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041"/>
          </w:tcPr>
          <w:p>
            <w:r>
              <w:t>Tension/Release</w:t>
            </w:r>
          </w:p>
        </w:tc>
        <w:tc>
          <w:tcPr>
            <w:tcW w:type="dxa" w:w="4309"/>
          </w:tcPr>
          <w:p>
            <w:r>
              <w:t>Problem zeigen -&gt; Lösung andeuten</w:t>
            </w:r>
          </w:p>
        </w:tc>
        <w:tc>
          <w:tcPr>
            <w:tcW w:type="dxa" w:w="1417"/>
          </w:tcPr>
          <w:p>
            <w:r>
              <w:t>+24 %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2041"/>
          </w:tcPr>
          <w:p>
            <w:r>
              <w:t>Kinetic Text</w:t>
            </w:r>
          </w:p>
        </w:tc>
        <w:tc>
          <w:tcPr>
            <w:tcW w:type="dxa" w:w="4309"/>
          </w:tcPr>
          <w:p>
            <w:r>
              <w:t>Wort-Animationen synchron zu Beat</w:t>
            </w:r>
          </w:p>
        </w:tc>
        <w:tc>
          <w:tcPr>
            <w:tcW w:type="dxa" w:w="1417"/>
          </w:tcPr>
          <w:p>
            <w:r>
              <w:t>+21 %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2041"/>
          </w:tcPr>
          <w:p>
            <w:r>
              <w:t>Personalize-Hint</w:t>
            </w:r>
          </w:p>
        </w:tc>
        <w:tc>
          <w:tcPr>
            <w:tcW w:type="dxa" w:w="4309"/>
          </w:tcPr>
          <w:p>
            <w:r>
              <w:t>„Wenn du X fährst, achte auf Y“</w:t>
            </w:r>
          </w:p>
        </w:tc>
        <w:tc>
          <w:tcPr>
            <w:tcW w:type="dxa" w:w="1417"/>
          </w:tcPr>
          <w:p>
            <w:r>
              <w:t>+18 %</w:t>
            </w:r>
          </w:p>
        </w:tc>
      </w:tr>
    </w:tbl>
    <w:p/>
    <w:p>
      <w:pPr>
        <w:pStyle w:val="Heading2"/>
      </w:pPr>
      <w:r>
        <w:rPr>
          <w:color w:val="1F2A44"/>
        </w:rPr>
        <w:t>4.2 Static-Hold — wie ein Standbild „hält“</w:t>
      </w:r>
    </w:p>
    <w:p>
      <w:r>
        <w:rPr>
          <w:b w:val="0"/>
          <w:i w:val="0"/>
        </w:rPr>
        <w:t>Static-Creatives haben keine Zeitachse — das „Halten“ passiert über Eye-Path-Design:</w:t>
      </w:r>
    </w:p>
    <w:p>
      <w:pPr>
        <w:pStyle w:val="ListBullet"/>
      </w:pPr>
      <w:r>
        <w:t>Z-Pattern oder F-Pattern Lese-Reihenfolge respektieren</w:t>
      </w:r>
    </w:p>
    <w:p>
      <w:pPr>
        <w:pStyle w:val="ListBullet"/>
      </w:pPr>
      <w:r>
        <w:t>Größenhierarchie 1:3:6 (CTA : Subline : Hook)</w:t>
      </w:r>
    </w:p>
    <w:p>
      <w:pPr>
        <w:pStyle w:val="ListBullet"/>
      </w:pPr>
      <w:r>
        <w:t>Kontrast-Anker: 1 dominante Farbe (CTA-Box), Rest Neutral</w:t>
      </w:r>
    </w:p>
    <w:p>
      <w:pPr>
        <w:pStyle w:val="ListBullet"/>
      </w:pPr>
      <w:r>
        <w:t>Negative Space: mind. 30 % des Frames leer</w:t>
      </w:r>
    </w:p>
    <w:p>
      <w:pPr>
        <w:pStyle w:val="ListBullet"/>
      </w:pPr>
      <w:r>
        <w:t>Ein zentrales Produkt-Visual, nicht 2–3 kämpfen ums Auge</w:t>
      </w:r>
    </w:p>
    <w:p>
      <w:pPr>
        <w:pStyle w:val="Heading2"/>
      </w:pPr>
      <w:r>
        <w:rPr>
          <w:color w:val="1F2A44"/>
        </w:rPr>
        <w:t>4.3 Sound-Design (nur Video)</w:t>
      </w:r>
    </w:p>
    <w:p>
      <w:pPr>
        <w:pStyle w:val="ListBullet"/>
      </w:pPr>
      <w:r>
        <w:t>Beat-Drop in Sek 1 oder 3 — synchronisiert mit Visual-Cut -&gt; +14 % Watch-Time</w:t>
      </w:r>
    </w:p>
    <w:p>
      <w:pPr>
        <w:pStyle w:val="ListBullet"/>
      </w:pPr>
      <w:r>
        <w:t>Stille-Sekunde (0,5 s) vor Punchline -&gt; +9 % Wirkung</w:t>
      </w:r>
    </w:p>
    <w:p>
      <w:pPr>
        <w:pStyle w:val="ListBullet"/>
      </w:pPr>
      <w:r>
        <w:t>Voice-Over-Tempo 160–180 wpm (TikTok Optimum)</w:t>
      </w:r>
    </w:p>
    <w:p>
      <w:r>
        <w:br w:type="page"/>
      </w:r>
    </w:p>
    <w:p>
      <w:pPr>
        <w:pStyle w:val="Heading1"/>
      </w:pPr>
      <w:r>
        <w:rPr>
          <w:color w:val="0F172A"/>
        </w:rPr>
        <w:t>5. CTAs — die letzten 5 Sekunden entscheiden</w:t>
      </w:r>
    </w:p>
    <w:p>
      <w:pPr>
        <w:pStyle w:val="Heading2"/>
      </w:pPr>
      <w:r>
        <w:rPr>
          <w:color w:val="1F2A44"/>
        </w:rPr>
        <w:t>5.1 Top-CTAs nach messbarem CTR-Lift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val="clear" w:color="auto" w:fill="0F172A"/>
          </w:tcPr>
          <w:p>
            <w:r/>
            <w:r>
              <w:rPr>
                <w:b/>
                <w:color w:val="FFFFFF"/>
              </w:rPr>
              <w:t>CTA-Typ</w:t>
            </w:r>
          </w:p>
        </w:tc>
        <w:tc>
          <w:tcPr>
            <w:tcW w:type="dxa" w:w="2835"/>
            <w:shd w:val="clear" w:color="auto" w:fill="0F172A"/>
          </w:tcPr>
          <w:p>
            <w:r/>
            <w:r>
              <w:rPr>
                <w:b/>
                <w:color w:val="FFFFFF"/>
              </w:rPr>
              <w:t>Beispiel</w:t>
            </w:r>
          </w:p>
        </w:tc>
        <w:tc>
          <w:tcPr>
            <w:tcW w:type="dxa" w:w="1701"/>
            <w:shd w:val="clear" w:color="auto" w:fill="0F172A"/>
          </w:tcPr>
          <w:p>
            <w:r/>
            <w:r>
              <w:rPr>
                <w:b/>
                <w:color w:val="FFFFFF"/>
              </w:rPr>
              <w:t>vs. „Mehr erfahren“</w:t>
            </w:r>
          </w:p>
        </w:tc>
      </w:tr>
      <w:tr>
        <w:tc>
          <w:tcPr>
            <w:tcW w:type="dxa" w:w="2041"/>
          </w:tcPr>
          <w:p>
            <w:r>
              <w:t>First-Person Action</w:t>
            </w:r>
          </w:p>
        </w:tc>
        <w:tc>
          <w:tcPr>
            <w:tcW w:type="dxa" w:w="2835"/>
          </w:tcPr>
          <w:p>
            <w:r>
              <w:t>„Zeig mir den Preis“</w:t>
            </w:r>
          </w:p>
        </w:tc>
        <w:tc>
          <w:tcPr>
            <w:tcW w:type="dxa" w:w="1701"/>
          </w:tcPr>
          <w:p>
            <w:r>
              <w:t>+90 %</w:t>
            </w:r>
          </w:p>
        </w:tc>
      </w:tr>
      <w:tr>
        <w:tc>
          <w:tcPr>
            <w:tcW w:type="dxa" w:w="2041"/>
          </w:tcPr>
          <w:p>
            <w:r>
              <w:t>Specific Benefit</w:t>
            </w:r>
          </w:p>
        </w:tc>
        <w:tc>
          <w:tcPr>
            <w:tcW w:type="dxa" w:w="2835"/>
          </w:tcPr>
          <w:p>
            <w:r>
              <w:t>„Spar 18 % bis Sonntag“</w:t>
            </w:r>
          </w:p>
        </w:tc>
        <w:tc>
          <w:tcPr>
            <w:tcW w:type="dxa" w:w="1701"/>
          </w:tcPr>
          <w:p>
            <w:r>
              <w:t>+37 %</w:t>
            </w:r>
          </w:p>
        </w:tc>
      </w:tr>
      <w:tr>
        <w:tc>
          <w:tcPr>
            <w:tcW w:type="dxa" w:w="2041"/>
          </w:tcPr>
          <w:p>
            <w:r>
              <w:t>Urgency + Stock</w:t>
            </w:r>
          </w:p>
        </w:tc>
        <w:tc>
          <w:tcPr>
            <w:tcW w:type="dxa" w:w="2835"/>
          </w:tcPr>
          <w:p>
            <w:r>
              <w:t>„Nur 12 Stück übrig“</w:t>
            </w:r>
          </w:p>
        </w:tc>
        <w:tc>
          <w:tcPr>
            <w:tcW w:type="dxa" w:w="1701"/>
          </w:tcPr>
          <w:p>
            <w:r>
              <w:t>+28 %</w:t>
            </w:r>
          </w:p>
        </w:tc>
      </w:tr>
      <w:tr>
        <w:tc>
          <w:tcPr>
            <w:tcW w:type="dxa" w:w="2041"/>
          </w:tcPr>
          <w:p>
            <w:r>
              <w:t>Risk-Reversal</w:t>
            </w:r>
          </w:p>
        </w:tc>
        <w:tc>
          <w:tcPr>
            <w:tcW w:type="dxa" w:w="2835"/>
          </w:tcPr>
          <w:p>
            <w:r>
              <w:t>„30 Tage testen, kostenlos“</w:t>
            </w:r>
          </w:p>
        </w:tc>
        <w:tc>
          <w:tcPr>
            <w:tcW w:type="dxa" w:w="1701"/>
          </w:tcPr>
          <w:p>
            <w:r>
              <w:t>+24 %</w:t>
            </w:r>
          </w:p>
        </w:tc>
      </w:tr>
      <w:tr>
        <w:tc>
          <w:tcPr>
            <w:tcW w:type="dxa" w:w="2041"/>
          </w:tcPr>
          <w:p>
            <w:r>
              <w:t>Curiosity</w:t>
            </w:r>
          </w:p>
        </w:tc>
        <w:tc>
          <w:tcPr>
            <w:tcW w:type="dxa" w:w="2835"/>
          </w:tcPr>
          <w:p>
            <w:r>
              <w:t>„Sieh, warum 7.000 …“</w:t>
            </w:r>
          </w:p>
        </w:tc>
        <w:tc>
          <w:tcPr>
            <w:tcW w:type="dxa" w:w="1701"/>
          </w:tcPr>
          <w:p>
            <w:r>
              <w:t>+19 %</w:t>
            </w:r>
          </w:p>
        </w:tc>
      </w:tr>
      <w:tr>
        <w:tc>
          <w:tcPr>
            <w:tcW w:type="dxa" w:w="2041"/>
          </w:tcPr>
          <w:p>
            <w:r>
              <w:t>Mehr erfahren (Default)</w:t>
            </w:r>
          </w:p>
        </w:tc>
        <w:tc>
          <w:tcPr>
            <w:tcW w:type="dxa" w:w="2835"/>
          </w:tcPr>
          <w:p>
            <w:r>
              <w:t>—</w:t>
            </w:r>
          </w:p>
        </w:tc>
        <w:tc>
          <w:tcPr>
            <w:tcW w:type="dxa" w:w="1701"/>
          </w:tcPr>
          <w:p>
            <w:r>
              <w:t>Baseline</w:t>
            </w:r>
          </w:p>
        </w:tc>
      </w:tr>
      <w:tr>
        <w:tc>
          <w:tcPr>
            <w:tcW w:type="dxa" w:w="2041"/>
          </w:tcPr>
          <w:p>
            <w:r>
              <w:t>Jetzt kaufen</w:t>
            </w:r>
          </w:p>
        </w:tc>
        <w:tc>
          <w:tcPr>
            <w:tcW w:type="dxa" w:w="2835"/>
          </w:tcPr>
          <w:p>
            <w:r>
              <w:t>—</w:t>
            </w:r>
          </w:p>
        </w:tc>
        <w:tc>
          <w:tcPr>
            <w:tcW w:type="dxa" w:w="1701"/>
          </w:tcPr>
          <w:p>
            <w:r>
              <w:t>–4 %</w:t>
            </w:r>
          </w:p>
        </w:tc>
      </w:tr>
      <w:tr>
        <w:tc>
          <w:tcPr>
            <w:tcW w:type="dxa" w:w="2041"/>
          </w:tcPr>
          <w:p>
            <w:r>
              <w:t>Klick hier</w:t>
            </w:r>
          </w:p>
        </w:tc>
        <w:tc>
          <w:tcPr>
            <w:tcW w:type="dxa" w:w="2835"/>
          </w:tcPr>
          <w:p>
            <w:r>
              <w:t>—</w:t>
            </w:r>
          </w:p>
        </w:tc>
        <w:tc>
          <w:tcPr>
            <w:tcW w:type="dxa" w:w="1701"/>
          </w:tcPr>
          <w:p>
            <w:r>
              <w:t>–11 %</w:t>
            </w:r>
          </w:p>
        </w:tc>
      </w:tr>
    </w:tbl>
    <w:p/>
    <w:p>
      <w:r>
        <w:rPr>
          <w:b w:val="0"/>
          <w:i/>
        </w:rPr>
        <w:t>Quelle: Unbounce Conversion Benchmark Report 2024 (n = 44.000 Landing-Pages + 12.000 Ad-Tests).</w:t>
      </w:r>
    </w:p>
    <w:p>
      <w:pPr>
        <w:pStyle w:val="Heading2"/>
      </w:pPr>
      <w:r>
        <w:rPr>
          <w:color w:val="1F2A44"/>
        </w:rPr>
        <w:t>5.2 CTA-Visual-Best-Practices</w:t>
      </w:r>
    </w:p>
    <w:p>
      <w:pPr>
        <w:pStyle w:val="ListBullet"/>
      </w:pPr>
      <w:r>
        <w:t>Kontrastfarbe zur Hintergrund-Dominante (CIELAB delta-E &gt; 40)</w:t>
      </w:r>
    </w:p>
    <w:p>
      <w:pPr>
        <w:pStyle w:val="ListBullet"/>
      </w:pPr>
      <w:r>
        <w:t>Button-Größe min. 56 px Höhe (Touch-Target Apple HIG)</w:t>
      </w:r>
    </w:p>
    <w:p>
      <w:pPr>
        <w:pStyle w:val="ListBullet"/>
      </w:pPr>
      <w:r>
        <w:t>Pill-Form (border-radius full) konvertiert +11 % vs. eckig — Smartly.io</w:t>
      </w:r>
    </w:p>
    <w:p>
      <w:pPr>
        <w:pStyle w:val="ListBullet"/>
      </w:pPr>
      <w:r>
        <w:t>Position: Unterer Drittel-Bereich, mittig — meiste Klicks</w:t>
      </w:r>
    </w:p>
    <w:p>
      <w:pPr>
        <w:pStyle w:val="ListBullet"/>
      </w:pPr>
      <w:r>
        <w:t>Microcopy darunter: 1 Zeile Risk-Reversal („Versand 24 h, gratis ab 50 €“)</w:t>
      </w:r>
    </w:p>
    <w:p>
      <w:pPr>
        <w:pStyle w:val="Heading2"/>
      </w:pPr>
      <w:r>
        <w:rPr>
          <w:color w:val="1F2A44"/>
        </w:rPr>
        <w:t>5.3 CTA-Anti-Patterns</w:t>
      </w:r>
    </w:p>
    <w:p>
      <w:pPr>
        <w:pStyle w:val="ListBullet"/>
      </w:pPr>
      <w:r>
        <w:t>Zwei konkurrierende CTAs auf demselben Frame -&gt; –22 % CTR</w:t>
      </w:r>
    </w:p>
    <w:p>
      <w:pPr>
        <w:pStyle w:val="ListBullet"/>
      </w:pPr>
      <w:r>
        <w:t>„Jetzt!“ ohne Konsequenz -&gt; schwächer als „Spar X“ + Konsequenz</w:t>
      </w:r>
    </w:p>
    <w:p>
      <w:pPr>
        <w:pStyle w:val="ListBullet"/>
      </w:pPr>
      <w:r>
        <w:t>Versteckte CTA (nur Caption) -&gt; –54 % CTR auf Static</w:t>
      </w:r>
    </w:p>
    <w:p>
      <w:r>
        <w:br w:type="page"/>
      </w:r>
    </w:p>
    <w:p>
      <w:pPr>
        <w:pStyle w:val="Heading1"/>
      </w:pPr>
      <w:r>
        <w:rPr>
          <w:color w:val="0F172A"/>
        </w:rPr>
        <w:t>6. Visual-Best-Practices (Eyetracking + A/B-Daten)</w:t>
      </w:r>
    </w:p>
    <w:p>
      <w:pPr>
        <w:pStyle w:val="Heading2"/>
      </w:pPr>
      <w:r>
        <w:rPr>
          <w:color w:val="1F2A44"/>
        </w:rPr>
        <w:t>6.1 Komposition</w:t>
      </w:r>
    </w:p>
    <w:p>
      <w:pPr>
        <w:pStyle w:val="ListBullet"/>
      </w:pPr>
      <w:r>
        <w:t>Rule of Thirds: Produkt auf Schnittpunkt -&gt; +17 % Wahrnehmungsdauer</w:t>
      </w:r>
    </w:p>
    <w:p>
      <w:pPr>
        <w:pStyle w:val="ListBullet"/>
      </w:pPr>
      <w:r>
        <w:t>Diagonale Leading-Lines führen zum CTA -&gt; +12 % CTR</w:t>
      </w:r>
    </w:p>
    <w:p>
      <w:pPr>
        <w:pStyle w:val="ListBullet"/>
      </w:pPr>
      <w:r>
        <w:t>Gesicht im Frame: +38 % erste-Sek-Aufmerksamkeit (Nielsen)</w:t>
      </w:r>
    </w:p>
    <w:p>
      <w:pPr>
        <w:pStyle w:val="ListBullet"/>
      </w:pPr>
      <w:r>
        <w:t>Augen-Richtung: Wenn Person im Bild den CTA anschaut -&gt; +14 % CTA-Klicks</w:t>
      </w:r>
    </w:p>
    <w:p>
      <w:pPr>
        <w:pStyle w:val="Heading2"/>
      </w:pPr>
      <w:r>
        <w:rPr>
          <w:color w:val="1F2A44"/>
        </w:rPr>
        <w:t>6.2 Farben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0F172A"/>
          </w:tcPr>
          <w:p>
            <w:r/>
            <w:r>
              <w:rPr>
                <w:b/>
                <w:color w:val="FFFFFF"/>
              </w:rPr>
              <w:t>Farb-Effekt</w:t>
            </w:r>
          </w:p>
        </w:tc>
        <w:tc>
          <w:tcPr>
            <w:tcW w:type="dxa" w:w="2551"/>
            <w:shd w:val="clear" w:color="auto" w:fill="0F172A"/>
          </w:tcPr>
          <w:p>
            <w:r/>
            <w:r>
              <w:rPr>
                <w:b/>
                <w:color w:val="FFFFFF"/>
              </w:rPr>
              <w:t>Anwendung</w:t>
            </w:r>
          </w:p>
        </w:tc>
        <w:tc>
          <w:tcPr>
            <w:tcW w:type="dxa" w:w="1984"/>
            <w:shd w:val="clear" w:color="auto" w:fill="0F172A"/>
          </w:tcPr>
          <w:p>
            <w:r/>
            <w:r>
              <w:rPr>
                <w:b/>
                <w:color w:val="FFFFFF"/>
              </w:rPr>
              <w:t>Daten</w:t>
            </w:r>
          </w:p>
        </w:tc>
      </w:tr>
      <w:tr>
        <w:tc>
          <w:tcPr>
            <w:tcW w:type="dxa" w:w="2268"/>
          </w:tcPr>
          <w:p>
            <w:r>
              <w:t>Rot/Orange auf neutralem BG</w:t>
            </w:r>
          </w:p>
        </w:tc>
        <w:tc>
          <w:tcPr>
            <w:tcW w:type="dxa" w:w="2551"/>
          </w:tcPr>
          <w:p>
            <w:r>
              <w:t>CTA-Button</w:t>
            </w:r>
          </w:p>
        </w:tc>
        <w:tc>
          <w:tcPr>
            <w:tcW w:type="dxa" w:w="1984"/>
          </w:tcPr>
          <w:p>
            <w:r>
              <w:t>+21 % Klick</w:t>
            </w:r>
          </w:p>
        </w:tc>
      </w:tr>
      <w:tr>
        <w:tc>
          <w:tcPr>
            <w:tcW w:type="dxa" w:w="2268"/>
          </w:tcPr>
          <w:p>
            <w:r>
              <w:t>Hoher Kontrast</w:t>
            </w:r>
          </w:p>
        </w:tc>
        <w:tc>
          <w:tcPr>
            <w:tcW w:type="dxa" w:w="2551"/>
          </w:tcPr>
          <w:p>
            <w:r>
              <w:t>Text auf Bild</w:t>
            </w:r>
          </w:p>
        </w:tc>
        <w:tc>
          <w:tcPr>
            <w:tcW w:type="dxa" w:w="1984"/>
          </w:tcPr>
          <w:p>
            <w:r>
              <w:t>+18 % Lesbarkeit</w:t>
            </w:r>
          </w:p>
        </w:tc>
      </w:tr>
      <w:tr>
        <w:tc>
          <w:tcPr>
            <w:tcW w:type="dxa" w:w="2268"/>
          </w:tcPr>
          <w:p>
            <w:r>
              <w:t>Konsistente Brand-Farbe</w:t>
            </w:r>
          </w:p>
        </w:tc>
        <w:tc>
          <w:tcPr>
            <w:tcW w:type="dxa" w:w="2551"/>
          </w:tcPr>
          <w:p>
            <w:r>
              <w:t>Über alle Creatives</w:t>
            </w:r>
          </w:p>
        </w:tc>
        <w:tc>
          <w:tcPr>
            <w:tcW w:type="dxa" w:w="1984"/>
          </w:tcPr>
          <w:p>
            <w:r>
              <w:t>Brand-Recall +23 % nach 3 Touches</w:t>
            </w:r>
          </w:p>
        </w:tc>
      </w:tr>
      <w:tr>
        <w:tc>
          <w:tcPr>
            <w:tcW w:type="dxa" w:w="2268"/>
          </w:tcPr>
          <w:p>
            <w:r>
              <w:t>Schwarz/Weiß-Hook bei UGC</w:t>
            </w:r>
          </w:p>
        </w:tc>
        <w:tc>
          <w:tcPr>
            <w:tcW w:type="dxa" w:w="2551"/>
          </w:tcPr>
          <w:p>
            <w:r>
              <w:t>Sek 0–1</w:t>
            </w:r>
          </w:p>
        </w:tc>
        <w:tc>
          <w:tcPr>
            <w:tcW w:type="dxa" w:w="1984"/>
          </w:tcPr>
          <w:p>
            <w:r>
              <w:t>+14 % Watch-Time</w:t>
            </w:r>
          </w:p>
        </w:tc>
      </w:tr>
    </w:tbl>
    <w:p/>
    <w:p>
      <w:pPr>
        <w:pStyle w:val="Heading2"/>
      </w:pPr>
      <w:r>
        <w:rPr>
          <w:color w:val="1F2A44"/>
        </w:rPr>
        <w:t>6.3 Typografie</w:t>
      </w:r>
    </w:p>
    <w:p>
      <w:pPr>
        <w:pStyle w:val="ListBullet"/>
      </w:pPr>
      <w:r>
        <w:t>Sans-Serif (Inter, Helvetica) &gt; Serif für Display-Ads</w:t>
      </w:r>
    </w:p>
    <w:p>
      <w:pPr>
        <w:pStyle w:val="ListBullet"/>
      </w:pPr>
      <w:r>
        <w:t>Bold/Heavy für Hook -&gt; +9 % Erinnerung</w:t>
      </w:r>
    </w:p>
    <w:p>
      <w:pPr>
        <w:pStyle w:val="ListBullet"/>
      </w:pPr>
      <w:r>
        <w:t>Mind. 60 px Schriftgröße bei 1080×1920 — mobile lesbar</w:t>
      </w:r>
    </w:p>
    <w:p>
      <w:pPr>
        <w:pStyle w:val="ListBullet"/>
      </w:pPr>
      <w:r>
        <w:t>Maximal 2 Schriftarten pro Creative</w:t>
      </w:r>
    </w:p>
    <w:p>
      <w:pPr>
        <w:pStyle w:val="ListBullet"/>
      </w:pPr>
      <w:r>
        <w:t>Kerning -2 % bis -3 % für Display-Headlines (Inter empfohlen)</w:t>
      </w:r>
    </w:p>
    <w:p>
      <w:pPr>
        <w:pStyle w:val="Heading2"/>
      </w:pPr>
      <w:r>
        <w:rPr>
          <w:color w:val="1F2A44"/>
        </w:rPr>
        <w:t>6.4 Produkt-Darstellung</w:t>
      </w:r>
    </w:p>
    <w:p>
      <w:pPr>
        <w:pStyle w:val="ListBullet"/>
      </w:pPr>
      <w:r>
        <w:t>Native Szene &gt; freigestelltes Packshot: +29 % CTR (Motion)</w:t>
      </w:r>
    </w:p>
    <w:p>
      <w:pPr>
        <w:pStyle w:val="ListBullet"/>
      </w:pPr>
      <w:r>
        <w:t>Mensch + Produkt-Interaktion: +44 % vs. nur Produkt</w:t>
      </w:r>
    </w:p>
    <w:p>
      <w:pPr>
        <w:pStyle w:val="ListBullet"/>
      </w:pPr>
      <w:r>
        <w:t>Produkt &gt; 25 % Bildfläche, &lt; 60 %</w:t>
      </w:r>
    </w:p>
    <w:p>
      <w:pPr>
        <w:pStyle w:val="ListBullet"/>
      </w:pPr>
      <w:r>
        <w:t>Schatten/Reflexion erhöhen wahrgenommene Realität -&gt; +8 % Trust-Score</w:t>
      </w:r>
    </w:p>
    <w:p>
      <w:r>
        <w:br w:type="page"/>
      </w:r>
    </w:p>
    <w:p>
      <w:pPr>
        <w:pStyle w:val="Heading1"/>
      </w:pPr>
      <w:r>
        <w:rPr>
          <w:color w:val="0F172A"/>
        </w:rPr>
        <w:t>7. Input-Checkliste — was dein Tool je Run braucht</w:t>
      </w:r>
    </w:p>
    <w:p>
      <w:r>
        <w:rPr>
          <w:b w:val="0"/>
          <w:i/>
        </w:rPr>
        <w:t>Damit der Output messbar besser wird, sollte der User pro Generate-Run diese Inputs liefern. Pflicht-Felder sind in der UI rot markiert, optionale grau.</w:t>
      </w:r>
    </w:p>
    <w:p>
      <w:pPr>
        <w:pStyle w:val="Heading2"/>
      </w:pPr>
      <w:r>
        <w:rPr>
          <w:color w:val="1F2A44"/>
        </w:rPr>
        <w:t>7.1 Pflicht-Felder (Score-Untergrenze 60)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F172A"/>
          </w:tcPr>
          <w:p>
            <w:r/>
            <w:r>
              <w:rPr>
                <w:b/>
                <w:color w:val="FFFFFF"/>
              </w:rPr>
              <w:t>Feld</w:t>
            </w:r>
          </w:p>
        </w:tc>
        <w:tc>
          <w:tcPr>
            <w:tcW w:type="dxa" w:w="3402"/>
            <w:shd w:val="clear" w:color="auto" w:fill="0F172A"/>
          </w:tcPr>
          <w:p>
            <w:r/>
            <w:r>
              <w:rPr>
                <w:b/>
                <w:color w:val="FFFFFF"/>
              </w:rPr>
              <w:t>Warum kritisch</w:t>
            </w:r>
          </w:p>
        </w:tc>
        <w:tc>
          <w:tcPr>
            <w:tcW w:type="dxa" w:w="1417"/>
            <w:shd w:val="clear" w:color="auto" w:fill="0F172A"/>
          </w:tcPr>
          <w:p>
            <w:r/>
            <w:r>
              <w:rPr>
                <w:b/>
                <w:color w:val="FFFFFF"/>
              </w:rPr>
              <w:t>Score-Impact</w:t>
            </w:r>
          </w:p>
        </w:tc>
      </w:tr>
      <w:tr>
        <w:tc>
          <w:tcPr>
            <w:tcW w:type="dxa" w:w="1984"/>
          </w:tcPr>
          <w:p>
            <w:r>
              <w:t>Persona</w:t>
            </w:r>
          </w:p>
        </w:tc>
        <w:tc>
          <w:tcPr>
            <w:tcW w:type="dxa" w:w="3402"/>
          </w:tcPr>
          <w:p>
            <w:r>
              <w:t>Bestimmt Tonalität, Awareness, Hook-Pool</w:t>
            </w:r>
          </w:p>
        </w:tc>
        <w:tc>
          <w:tcPr>
            <w:tcW w:type="dxa" w:w="1417"/>
          </w:tcPr>
          <w:p>
            <w:r>
              <w:t>Bis +14 Pkt</w:t>
            </w:r>
          </w:p>
        </w:tc>
      </w:tr>
      <w:tr>
        <w:tc>
          <w:tcPr>
            <w:tcW w:type="dxa" w:w="1984"/>
          </w:tcPr>
          <w:p>
            <w:r>
              <w:t>Plattform</w:t>
            </w:r>
          </w:p>
        </w:tc>
        <w:tc>
          <w:tcPr>
            <w:tcW w:type="dxa" w:w="3402"/>
          </w:tcPr>
          <w:p>
            <w:r>
              <w:t>Aspect-Ratio + Headline-Limit + Sound-Default</w:t>
            </w:r>
          </w:p>
        </w:tc>
        <w:tc>
          <w:tcPr>
            <w:tcW w:type="dxa" w:w="1417"/>
          </w:tcPr>
          <w:p>
            <w:r>
              <w:t>Bis +8 Pkt</w:t>
            </w:r>
          </w:p>
        </w:tc>
      </w:tr>
      <w:tr>
        <w:tc>
          <w:tcPr>
            <w:tcW w:type="dxa" w:w="1984"/>
          </w:tcPr>
          <w:p>
            <w:r>
              <w:t>Produkt-Name</w:t>
            </w:r>
          </w:p>
        </w:tc>
        <w:tc>
          <w:tcPr>
            <w:tcW w:type="dxa" w:w="3402"/>
          </w:tcPr>
          <w:p>
            <w:r>
              <w:t>In Headline -&gt; Erinnerung +23 %</w:t>
            </w:r>
          </w:p>
        </w:tc>
        <w:tc>
          <w:tcPr>
            <w:tcW w:type="dxa" w:w="1417"/>
          </w:tcPr>
          <w:p>
            <w:r>
              <w:t>+10 Pkt</w:t>
            </w:r>
          </w:p>
        </w:tc>
      </w:tr>
      <w:tr>
        <w:tc>
          <w:tcPr>
            <w:tcW w:type="dxa" w:w="1984"/>
          </w:tcPr>
          <w:p>
            <w:r>
              <w:t>Konkrete Spec/Zahl</w:t>
            </w:r>
          </w:p>
        </w:tc>
        <w:tc>
          <w:tcPr>
            <w:tcW w:type="dxa" w:w="3402"/>
          </w:tcPr>
          <w:p>
            <w:r>
              <w:t>„84 %“, „1.000 km“ — Spezifizität</w:t>
            </w:r>
          </w:p>
        </w:tc>
        <w:tc>
          <w:tcPr>
            <w:tcW w:type="dxa" w:w="1417"/>
          </w:tcPr>
          <w:p>
            <w:r>
              <w:t>+12 Pkt</w:t>
            </w:r>
          </w:p>
        </w:tc>
      </w:tr>
      <w:tr>
        <w:tc>
          <w:tcPr>
            <w:tcW w:type="dxa" w:w="1984"/>
          </w:tcPr>
          <w:p>
            <w:r>
              <w:t>1x klarer Benefit</w:t>
            </w:r>
          </w:p>
        </w:tc>
        <w:tc>
          <w:tcPr>
            <w:tcW w:type="dxa" w:w="3402"/>
          </w:tcPr>
          <w:p>
            <w:r>
              <w:t>Substanz statt Slogan</w:t>
            </w:r>
          </w:p>
        </w:tc>
        <w:tc>
          <w:tcPr>
            <w:tcW w:type="dxa" w:w="1417"/>
          </w:tcPr>
          <w:p>
            <w:r>
              <w:t>+8 Pkt</w:t>
            </w:r>
          </w:p>
        </w:tc>
      </w:tr>
    </w:tbl>
    <w:p/>
    <w:p>
      <w:pPr>
        <w:pStyle w:val="Heading2"/>
      </w:pPr>
      <w:r>
        <w:rPr>
          <w:color w:val="1F2A44"/>
        </w:rPr>
        <w:t>7.2 Optionale Felder (Score-Push 80+)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0F172A"/>
          </w:tcPr>
          <w:p>
            <w:r/>
            <w:r>
              <w:rPr>
                <w:b/>
                <w:color w:val="FFFFFF"/>
              </w:rPr>
              <w:t>Feld</w:t>
            </w:r>
          </w:p>
        </w:tc>
        <w:tc>
          <w:tcPr>
            <w:tcW w:type="dxa" w:w="4252"/>
            <w:shd w:val="clear" w:color="auto" w:fill="0F172A"/>
          </w:tcPr>
          <w:p>
            <w:r/>
            <w:r>
              <w:rPr>
                <w:b/>
                <w:color w:val="FFFFFF"/>
              </w:rPr>
              <w:t>Wirkung</w:t>
            </w:r>
          </w:p>
        </w:tc>
      </w:tr>
      <w:tr>
        <w:tc>
          <w:tcPr>
            <w:tcW w:type="dxa" w:w="2551"/>
          </w:tcPr>
          <w:p>
            <w:r>
              <w:t>Awareness-Stufe (1–5)</w:t>
            </w:r>
          </w:p>
        </w:tc>
        <w:tc>
          <w:tcPr>
            <w:tcW w:type="dxa" w:w="4252"/>
          </w:tcPr>
          <w:p>
            <w:r>
              <w:t>Steuert Hook-Aggressivität</w:t>
            </w:r>
          </w:p>
        </w:tc>
      </w:tr>
      <w:tr>
        <w:tc>
          <w:tcPr>
            <w:tcW w:type="dxa" w:w="2551"/>
          </w:tcPr>
          <w:p>
            <w:r>
              <w:t>Persuasion-Lever (Cialdini)</w:t>
            </w:r>
          </w:p>
        </w:tc>
        <w:tc>
          <w:tcPr>
            <w:tcW w:type="dxa" w:w="4252"/>
          </w:tcPr>
          <w:p>
            <w:r>
              <w:t>Authority / Scarcity / Social Proof als Verstärker</w:t>
            </w:r>
          </w:p>
        </w:tc>
      </w:tr>
      <w:tr>
        <w:tc>
          <w:tcPr>
            <w:tcW w:type="dxa" w:w="2551"/>
          </w:tcPr>
          <w:p>
            <w:r>
              <w:t>OEM/DIN/Norm-Belege</w:t>
            </w:r>
          </w:p>
        </w:tc>
        <w:tc>
          <w:tcPr>
            <w:tcW w:type="dxa" w:w="4252"/>
          </w:tcPr>
          <w:p>
            <w:r>
              <w:t>Trust-Signal +4 Pkt</w:t>
            </w:r>
          </w:p>
        </w:tc>
      </w:tr>
      <w:tr>
        <w:tc>
          <w:tcPr>
            <w:tcW w:type="dxa" w:w="2551"/>
          </w:tcPr>
          <w:p>
            <w:r>
              <w:t>Vorher/Nachher-Daten</w:t>
            </w:r>
          </w:p>
        </w:tc>
        <w:tc>
          <w:tcPr>
            <w:tcW w:type="dxa" w:w="4252"/>
          </w:tcPr>
          <w:p>
            <w:r>
              <w:t>Erlaubt Reveal-Hook Pattern #2</w:t>
            </w:r>
          </w:p>
        </w:tc>
      </w:tr>
      <w:tr>
        <w:tc>
          <w:tcPr>
            <w:tcW w:type="dxa" w:w="2551"/>
          </w:tcPr>
          <w:p>
            <w:r>
              <w:t>Urgency-Trigger (Termin/Stock)</w:t>
            </w:r>
          </w:p>
        </w:tc>
        <w:tc>
          <w:tcPr>
            <w:tcW w:type="dxa" w:w="4252"/>
          </w:tcPr>
          <w:p>
            <w:r>
              <w:t>Schaltet Scarcity-CTAs frei</w:t>
            </w:r>
          </w:p>
        </w:tc>
      </w:tr>
      <w:tr>
        <w:tc>
          <w:tcPr>
            <w:tcW w:type="dxa" w:w="2551"/>
          </w:tcPr>
          <w:p>
            <w:r>
              <w:t>Produktbild-Upload</w:t>
            </w:r>
          </w:p>
        </w:tc>
        <w:tc>
          <w:tcPr>
            <w:tcW w:type="dxa" w:w="4252"/>
          </w:tcPr>
          <w:p>
            <w:r>
              <w:t>Native Szene-Integration via Nano Banana</w:t>
            </w:r>
          </w:p>
        </w:tc>
      </w:tr>
      <w:tr>
        <w:tc>
          <w:tcPr>
            <w:tcW w:type="dxa" w:w="2551"/>
          </w:tcPr>
          <w:p>
            <w:r>
              <w:t>Visual-Cues (Tags)</w:t>
            </w:r>
          </w:p>
        </w:tc>
        <w:tc>
          <w:tcPr>
            <w:tcW w:type="dxa" w:w="4252"/>
          </w:tcPr>
          <w:p>
            <w:r>
              <w:t>Konsistenz-Score +6 Pkt</w:t>
            </w:r>
          </w:p>
        </w:tc>
      </w:tr>
    </w:tbl>
    <w:p/>
    <w:p>
      <w:pPr>
        <w:pStyle w:val="Heading2"/>
      </w:pPr>
      <w:r>
        <w:rPr>
          <w:color w:val="1F2A44"/>
        </w:rPr>
        <w:t>7.3 Self-Learning-Inputs (Stufe 1–3)</w:t>
      </w:r>
    </w:p>
    <w:p>
      <w:pPr>
        <w:pStyle w:val="ListBullet"/>
      </w:pPr>
      <w:r>
        <w:t>Stufe 1 (jetzt aktiv): 👍/👎 pro Variante -&gt; Hook-Präferenz pro User</w:t>
      </w:r>
    </w:p>
    <w:p>
      <w:pPr>
        <w:pStyle w:val="ListBullet"/>
      </w:pPr>
      <w:r>
        <w:t>Stufe 2 (4–6 h Aufwand): Outcome-Import via Meta-Ads-CSV -&gt; echte CTR pro Hook</w:t>
      </w:r>
    </w:p>
    <w:p>
      <w:pPr>
        <w:pStyle w:val="ListBullet"/>
      </w:pPr>
      <w:r>
        <w:t>Stufe 3 (Roadmap): Embedding-basierte Variant-Similarity -&gt; „Lookalike Creative“</w:t>
      </w:r>
    </w:p>
    <w:p>
      <w:r>
        <w:br w:type="page"/>
      </w:r>
    </w:p>
    <w:p>
      <w:pPr>
        <w:pStyle w:val="Heading1"/>
      </w:pPr>
      <w:r>
        <w:rPr>
          <w:color w:val="0F172A"/>
        </w:rPr>
        <w:t>8. Die Score-Formel deines Tools (Pre-Flight Quality)</w:t>
      </w:r>
    </w:p>
    <w:p>
      <w:r>
        <w:rPr>
          <w:b w:val="0"/>
          <w:i w:val="0"/>
        </w:rPr>
        <w:t>Score 0–100, vor jeder Publikation berechnet. Kein User-Feedback nötig — heuristisch aus den 4 Säulen abgeleitet.</w:t>
      </w:r>
    </w:p>
    <w:p>
      <w:pPr>
        <w:pStyle w:val="Heading2"/>
      </w:pPr>
      <w:r>
        <w:rPr>
          <w:color w:val="1F2A44"/>
        </w:rPr>
        <w:t>8.1 Komponenten und Gewichtung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F172A"/>
          </w:tcPr>
          <w:p>
            <w:r/>
            <w:r>
              <w:rPr>
                <w:b/>
                <w:color w:val="FFFFFF"/>
              </w:rPr>
              <w:t>Komponente</w:t>
            </w:r>
          </w:p>
        </w:tc>
        <w:tc>
          <w:tcPr>
            <w:tcW w:type="dxa" w:w="907"/>
            <w:shd w:val="clear" w:color="auto" w:fill="0F172A"/>
          </w:tcPr>
          <w:p>
            <w:r/>
            <w:r>
              <w:rPr>
                <w:b/>
                <w:color w:val="FFFFFF"/>
              </w:rPr>
              <w:t>Max-Pkt</w:t>
            </w:r>
          </w:p>
        </w:tc>
        <w:tc>
          <w:tcPr>
            <w:tcW w:type="dxa" w:w="3628"/>
            <w:shd w:val="clear" w:color="auto" w:fill="0F172A"/>
          </w:tcPr>
          <w:p>
            <w:r/>
            <w:r>
              <w:rPr>
                <w:b/>
                <w:color w:val="FFFFFF"/>
              </w:rPr>
              <w:t>Beispiel-Trigger</w:t>
            </w:r>
          </w:p>
        </w:tc>
      </w:tr>
      <w:tr>
        <w:tc>
          <w:tcPr>
            <w:tcW w:type="dxa" w:w="2835"/>
          </w:tcPr>
          <w:p>
            <w:r>
              <w:t>Hook-Pattern erkannt</w:t>
            </w:r>
          </w:p>
        </w:tc>
        <w:tc>
          <w:tcPr>
            <w:tcW w:type="dxa" w:w="907"/>
          </w:tcPr>
          <w:p>
            <w:r>
              <w:t>20</w:t>
            </w:r>
          </w:p>
        </w:tc>
        <w:tc>
          <w:tcPr>
            <w:tcW w:type="dxa" w:w="3628"/>
          </w:tcPr>
          <w:p>
            <w:r>
              <w:t>Frage / Zahl / Negation matched Regex</w:t>
            </w:r>
          </w:p>
        </w:tc>
      </w:tr>
      <w:tr>
        <w:tc>
          <w:tcPr>
            <w:tcW w:type="dxa" w:w="2835"/>
          </w:tcPr>
          <w:p>
            <w:r>
              <w:t>CTA Spezifizität</w:t>
            </w:r>
          </w:p>
        </w:tc>
        <w:tc>
          <w:tcPr>
            <w:tcW w:type="dxa" w:w="907"/>
          </w:tcPr>
          <w:p>
            <w:r>
              <w:t>15</w:t>
            </w:r>
          </w:p>
        </w:tc>
        <w:tc>
          <w:tcPr>
            <w:tcW w:type="dxa" w:w="3628"/>
          </w:tcPr>
          <w:p>
            <w:r>
              <w:t>Verb + Benefit + Konsequenz</w:t>
            </w:r>
          </w:p>
        </w:tc>
      </w:tr>
      <w:tr>
        <w:tc>
          <w:tcPr>
            <w:tcW w:type="dxa" w:w="2835"/>
          </w:tcPr>
          <w:p>
            <w:r>
              <w:t>CTA Urgency</w:t>
            </w:r>
          </w:p>
        </w:tc>
        <w:tc>
          <w:tcPr>
            <w:tcW w:type="dxa" w:w="907"/>
          </w:tcPr>
          <w:p>
            <w:r>
              <w:t>5</w:t>
            </w:r>
          </w:p>
        </w:tc>
        <w:tc>
          <w:tcPr>
            <w:tcW w:type="dxa" w:w="3628"/>
          </w:tcPr>
          <w:p>
            <w:r>
              <w:t>„bis“, „nur“, „heute“, „ab“ matched</w:t>
            </w:r>
          </w:p>
        </w:tc>
      </w:tr>
      <w:tr>
        <w:tc>
          <w:tcPr>
            <w:tcW w:type="dxa" w:w="2835"/>
          </w:tcPr>
          <w:p>
            <w:r>
              <w:t>Produktfakten in Copy</w:t>
            </w:r>
          </w:p>
        </w:tc>
        <w:tc>
          <w:tcPr>
            <w:tcW w:type="dxa" w:w="907"/>
          </w:tcPr>
          <w:p>
            <w:r>
              <w:t>20</w:t>
            </w:r>
          </w:p>
        </w:tc>
        <w:tc>
          <w:tcPr>
            <w:tcW w:type="dxa" w:w="3628"/>
          </w:tcPr>
          <w:p>
            <w:r>
              <w:t>Name in Headline + Spec in Subline + Norm in Body</w:t>
            </w:r>
          </w:p>
        </w:tc>
      </w:tr>
      <w:tr>
        <w:tc>
          <w:tcPr>
            <w:tcW w:type="dxa" w:w="2835"/>
          </w:tcPr>
          <w:p>
            <w:r>
              <w:t>Awareness-Fit</w:t>
            </w:r>
          </w:p>
        </w:tc>
        <w:tc>
          <w:tcPr>
            <w:tcW w:type="dxa" w:w="907"/>
          </w:tcPr>
          <w:p>
            <w:r>
              <w:t>10</w:t>
            </w:r>
          </w:p>
        </w:tc>
        <w:tc>
          <w:tcPr>
            <w:tcW w:type="dxa" w:w="3628"/>
          </w:tcPr>
          <w:p>
            <w:r>
              <w:t>Hook &lt;-&gt; Awareness-Stufe konsistent</w:t>
            </w:r>
          </w:p>
        </w:tc>
      </w:tr>
      <w:tr>
        <w:tc>
          <w:tcPr>
            <w:tcW w:type="dxa" w:w="2835"/>
          </w:tcPr>
          <w:p>
            <w:r>
              <w:t>Framework genutzt</w:t>
            </w:r>
          </w:p>
        </w:tc>
        <w:tc>
          <w:tcPr>
            <w:tcW w:type="dxa" w:w="907"/>
          </w:tcPr>
          <w:p>
            <w:r>
              <w:t>10</w:t>
            </w:r>
          </w:p>
        </w:tc>
        <w:tc>
          <w:tcPr>
            <w:tcW w:type="dxa" w:w="3628"/>
          </w:tcPr>
          <w:p>
            <w:r>
              <w:t>AIDA / PAS / 4P / FAB / BAB Struktur</w:t>
            </w:r>
          </w:p>
        </w:tc>
      </w:tr>
      <w:tr>
        <w:tc>
          <w:tcPr>
            <w:tcW w:type="dxa" w:w="2835"/>
          </w:tcPr>
          <w:p>
            <w:r>
              <w:t>Lever aktiv</w:t>
            </w:r>
          </w:p>
        </w:tc>
        <w:tc>
          <w:tcPr>
            <w:tcW w:type="dxa" w:w="907"/>
          </w:tcPr>
          <w:p>
            <w:r>
              <w:t>5</w:t>
            </w:r>
          </w:p>
        </w:tc>
        <w:tc>
          <w:tcPr>
            <w:tcW w:type="dxa" w:w="3628"/>
          </w:tcPr>
          <w:p>
            <w:r>
              <w:t>Cialdini-Marker in Copy</w:t>
            </w:r>
          </w:p>
        </w:tc>
      </w:tr>
      <w:tr>
        <w:tc>
          <w:tcPr>
            <w:tcW w:type="dxa" w:w="2835"/>
          </w:tcPr>
          <w:p>
            <w:r>
              <w:t>Plattform-Limits</w:t>
            </w:r>
          </w:p>
        </w:tc>
        <w:tc>
          <w:tcPr>
            <w:tcW w:type="dxa" w:w="907"/>
          </w:tcPr>
          <w:p>
            <w:r>
              <w:t>10</w:t>
            </w:r>
          </w:p>
        </w:tc>
        <w:tc>
          <w:tcPr>
            <w:tcW w:type="dxa" w:w="3628"/>
          </w:tcPr>
          <w:p>
            <w:r>
              <w:t>Headline/Body innerhalb Char-Cap</w:t>
            </w:r>
          </w:p>
        </w:tc>
      </w:tr>
      <w:tr>
        <w:tc>
          <w:tcPr>
            <w:tcW w:type="dxa" w:w="2835"/>
          </w:tcPr>
          <w:p>
            <w:r>
              <w:t>Visual-Cue-Konsistenz</w:t>
            </w:r>
          </w:p>
        </w:tc>
        <w:tc>
          <w:tcPr>
            <w:tcW w:type="dxa" w:w="907"/>
          </w:tcPr>
          <w:p>
            <w:r>
              <w:t>5</w:t>
            </w:r>
          </w:p>
        </w:tc>
        <w:tc>
          <w:tcPr>
            <w:tcW w:type="dxa" w:w="3628"/>
          </w:tcPr>
          <w:p>
            <w:r>
              <w:t>Cues matchen Tonalität</w:t>
            </w:r>
          </w:p>
        </w:tc>
      </w:tr>
    </w:tbl>
    <w:p/>
    <w:p>
      <w:pPr>
        <w:pStyle w:val="Heading2"/>
      </w:pPr>
      <w:r>
        <w:rPr>
          <w:color w:val="1F2A44"/>
        </w:rPr>
        <w:t>8.2 Score-Schwellen</w:t>
      </w:r>
    </w:p>
    <w:p>
      <w:pPr>
        <w:pStyle w:val="ListBullet"/>
      </w:pPr>
      <w:r>
        <w:t>0–39: Roh / unbrauchbar — sofort regenerieren</w:t>
      </w:r>
    </w:p>
    <w:p>
      <w:pPr>
        <w:pStyle w:val="ListBullet"/>
      </w:pPr>
      <w:r>
        <w:t>40–59: Solide Baseline — publishable, aber kein Lift erwartet</w:t>
      </w:r>
    </w:p>
    <w:p>
      <w:pPr>
        <w:pStyle w:val="ListBullet"/>
      </w:pPr>
      <w:r>
        <w:t>60–74: Über Branchen-Median — typischer Tool-Default</w:t>
      </w:r>
    </w:p>
    <w:p>
      <w:pPr>
        <w:pStyle w:val="ListBullet"/>
      </w:pPr>
      <w:r>
        <w:t>75–89: Top-20-% — empfohlener Publish-Threshold</w:t>
      </w:r>
    </w:p>
    <w:p>
      <w:pPr>
        <w:pStyle w:val="ListBullet"/>
      </w:pPr>
      <w:r>
        <w:t>90–100: Top-5-% — selten, meist bei vollständigen Produktfakten + getuntem Hook</w:t>
      </w:r>
    </w:p>
    <w:p>
      <w:pPr>
        <w:pStyle w:val="Heading2"/>
      </w:pPr>
      <w:r>
        <w:rPr>
          <w:color w:val="1F2A44"/>
        </w:rPr>
        <w:t>8.3 Score-Limitierungen (Ehrlichkeit)</w:t>
      </w:r>
    </w:p>
    <w:p>
      <w:r>
        <w:rPr>
          <w:b w:val="0"/>
          <w:i w:val="0"/>
        </w:rPr>
        <w:t>Der Score ist heuristisch, nicht prädiktiv. Er misst die Wahrscheinlichkeit, dass das Creative den Best-Practices entspricht — nicht die garantierte CTR. Echte CTR-Prognose ist nur mit Stufe-2-Outcome-Import möglich (Mindestmenge 200 echte Impressions/Hook).</w:t>
      </w:r>
    </w:p>
    <w:p>
      <w:r>
        <w:br w:type="page"/>
      </w:r>
    </w:p>
    <w:p>
      <w:pPr>
        <w:pStyle w:val="Heading1"/>
      </w:pPr>
      <w:r>
        <w:rPr>
          <w:color w:val="0F172A"/>
        </w:rPr>
        <w:t>9. Empfohlener Workflow je Kampagnen-Start</w:t>
      </w:r>
    </w:p>
    <w:p>
      <w:pPr>
        <w:pStyle w:val="ListNumber"/>
      </w:pPr>
      <w:r>
        <w:t>Persona + Plattform setzen (30 Sek).</w:t>
      </w:r>
    </w:p>
    <w:p>
      <w:pPr>
        <w:pStyle w:val="ListNumber"/>
      </w:pPr>
      <w:r>
        <w:t>Produkt-URL eintragen -&gt; Tool zieht Facts automatisch (30 Sek).</w:t>
      </w:r>
    </w:p>
    <w:p>
      <w:pPr>
        <w:pStyle w:val="ListNumber"/>
      </w:pPr>
      <w:r>
        <w:t>Optional: 1–2 OEM/Norm-Belege manuell ergänzen (30 Sek).</w:t>
      </w:r>
    </w:p>
    <w:p>
      <w:pPr>
        <w:pStyle w:val="ListNumber"/>
      </w:pPr>
      <w:r>
        <w:t>3 Varianten generieren — diese decken unterschiedliche Hook-Achsen ab (nicht stilistische Varianten).</w:t>
      </w:r>
    </w:p>
    <w:p>
      <w:pPr>
        <w:pStyle w:val="ListNumber"/>
      </w:pPr>
      <w:r>
        <w:t>Score prüfen: alle Varianten &gt;= 75? Wenn ja -&gt; publish-fertig.</w:t>
      </w:r>
    </w:p>
    <w:p>
      <w:pPr>
        <w:pStyle w:val="ListNumber"/>
      </w:pPr>
      <w:r>
        <w:t>👍/👎 setzen — feeded Stufe-1-Learning.</w:t>
      </w:r>
    </w:p>
    <w:p>
      <w:pPr>
        <w:pStyle w:val="ListNumber"/>
      </w:pPr>
      <w:r>
        <w:t>Ins Library packen -&gt; Render mit Template aus Pool je Kind (Static/Reel/Animated).</w:t>
      </w:r>
    </w:p>
    <w:p>
      <w:pPr>
        <w:pStyle w:val="ListNumber"/>
      </w:pPr>
      <w:r>
        <w:t>Nach 48 h: CTR-Daten aus Meta/TikTok manuell oder per CSV-Import zurückspielen.</w:t>
      </w:r>
    </w:p>
    <w:p>
      <w:pPr>
        <w:pStyle w:val="ListNumber"/>
      </w:pPr>
      <w:r>
        <w:t>Nächster Run: Tool priorisiert Hooks, die laut Outcome-Daten gewinnen.</w:t>
      </w:r>
    </w:p>
    <w:p>
      <w:pPr>
        <w:pStyle w:val="Heading2"/>
      </w:pPr>
      <w:r>
        <w:rPr>
          <w:color w:val="1F2A44"/>
        </w:rPr>
        <w:t>9.1 Test-Matrix-Empfehlung</w:t>
      </w:r>
    </w:p>
    <w:p>
      <w:r>
        <w:rPr>
          <w:b w:val="0"/>
          <w:i w:val="0"/>
        </w:rPr>
        <w:t>Statt 3 zufälliger Designs A/B/C-testen -&gt; orthogonale Hook-Achsen testen: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shd w:val="clear" w:color="auto" w:fill="0F172A"/>
          </w:tcPr>
          <w:p>
            <w:r/>
            <w:r>
              <w:rPr>
                <w:b/>
                <w:color w:val="FFFFFF"/>
              </w:rPr>
              <w:t>Test-Slot</w:t>
            </w:r>
          </w:p>
        </w:tc>
        <w:tc>
          <w:tcPr>
            <w:tcW w:type="dxa" w:w="3402"/>
            <w:shd w:val="clear" w:color="auto" w:fill="0F172A"/>
          </w:tcPr>
          <w:p>
            <w:r/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835"/>
            <w:shd w:val="clear" w:color="auto" w:fill="0F172A"/>
          </w:tcPr>
          <w:p>
            <w:r/>
            <w:r>
              <w:rPr>
                <w:b/>
                <w:color w:val="FFFFFF"/>
              </w:rPr>
              <w:t>Konstant</w:t>
            </w:r>
          </w:p>
        </w:tc>
      </w:tr>
      <w:tr>
        <w:tc>
          <w:tcPr>
            <w:tcW w:type="dxa" w:w="1134"/>
          </w:tcPr>
          <w:p>
            <w:r>
              <w:t>A</w:t>
            </w:r>
          </w:p>
        </w:tc>
        <w:tc>
          <w:tcPr>
            <w:tcW w:type="dxa" w:w="3402"/>
          </w:tcPr>
          <w:p>
            <w:r>
              <w:t>Hook = Specific Number</w:t>
            </w:r>
          </w:p>
        </w:tc>
        <w:tc>
          <w:tcPr>
            <w:tcW w:type="dxa" w:w="2835"/>
          </w:tcPr>
          <w:p>
            <w:r>
              <w:t>Persona, Framework, CTA</w:t>
            </w:r>
          </w:p>
        </w:tc>
      </w:tr>
      <w:tr>
        <w:tc>
          <w:tcPr>
            <w:tcW w:type="dxa" w:w="1134"/>
          </w:tcPr>
          <w:p>
            <w:r>
              <w:t>B</w:t>
            </w:r>
          </w:p>
        </w:tc>
        <w:tc>
          <w:tcPr>
            <w:tcW w:type="dxa" w:w="3402"/>
          </w:tcPr>
          <w:p>
            <w:r>
              <w:t>Hook = Before/After</w:t>
            </w:r>
          </w:p>
        </w:tc>
        <w:tc>
          <w:tcPr>
            <w:tcW w:type="dxa" w:w="2835"/>
          </w:tcPr>
          <w:p>
            <w:r>
              <w:t>Persona, Framework, CTA</w:t>
            </w:r>
          </w:p>
        </w:tc>
      </w:tr>
      <w:tr>
        <w:tc>
          <w:tcPr>
            <w:tcW w:type="dxa" w:w="1134"/>
          </w:tcPr>
          <w:p>
            <w:r>
              <w:t>C</w:t>
            </w:r>
          </w:p>
        </w:tc>
        <w:tc>
          <w:tcPr>
            <w:tcW w:type="dxa" w:w="3402"/>
          </w:tcPr>
          <w:p>
            <w:r>
              <w:t>Hook = Question</w:t>
            </w:r>
          </w:p>
        </w:tc>
        <w:tc>
          <w:tcPr>
            <w:tcW w:type="dxa" w:w="2835"/>
          </w:tcPr>
          <w:p>
            <w:r>
              <w:t>Persona, Framework, CTA</w:t>
            </w:r>
          </w:p>
        </w:tc>
      </w:tr>
    </w:tbl>
    <w:p/>
    <w:p>
      <w:r>
        <w:rPr>
          <w:b w:val="0"/>
          <w:i/>
        </w:rPr>
        <w:t>So lernt dein Tool nach 1–2 Wochen, welche Hook-Achse für DEINE Zielgruppe gewinnt — Stufe-1-Rating boostet das zusätzlich.</w:t>
      </w:r>
    </w:p>
    <w:p>
      <w:r>
        <w:br w:type="page"/>
      </w:r>
    </w:p>
    <w:p>
      <w:pPr>
        <w:pStyle w:val="Heading1"/>
      </w:pPr>
      <w:r>
        <w:rPr>
          <w:color w:val="0F172A"/>
        </w:rPr>
        <w:t>10. Quellen und weiterführende Literatur</w:t>
      </w:r>
    </w:p>
    <w:p>
      <w:r>
        <w:rPr>
          <w:b/>
          <w:i w:val="0"/>
        </w:rPr>
        <w:t>Primärquellen (Industrie-Reports &amp; Studien)</w:t>
      </w:r>
    </w:p>
    <w:p>
      <w:pPr>
        <w:pStyle w:val="ListBullet"/>
      </w:pPr>
      <w:r>
        <w:t>Meta Business Insights — Creative Best Practices Library, 2024</w:t>
      </w:r>
    </w:p>
    <w:p>
      <w:pPr>
        <w:pStyle w:val="ListBullet"/>
      </w:pPr>
      <w:r>
        <w:t>Motion (motionapp.com) — Creative Trends Report Q3 2024, n = 51.000 Ads</w:t>
      </w:r>
    </w:p>
    <w:p>
      <w:pPr>
        <w:pStyle w:val="ListBullet"/>
      </w:pPr>
      <w:r>
        <w:t>TikTok Creative Center — Top-Performer-Insights 2024</w:t>
      </w:r>
    </w:p>
    <w:p>
      <w:pPr>
        <w:pStyle w:val="ListBullet"/>
      </w:pPr>
      <w:r>
        <w:t>Unbounce — Conversion Benchmark Report 2024, n = 44.000 LPs</w:t>
      </w:r>
    </w:p>
    <w:p>
      <w:pPr>
        <w:pStyle w:val="ListBullet"/>
      </w:pPr>
      <w:r>
        <w:t>Hootsuite Social Ad Benchmark Report 2024</w:t>
      </w:r>
    </w:p>
    <w:p>
      <w:pPr>
        <w:pStyle w:val="ListBullet"/>
      </w:pPr>
      <w:r>
        <w:t>Smartly.io — Creative Automation Benchmarks 2024</w:t>
      </w:r>
    </w:p>
    <w:p>
      <w:pPr>
        <w:pStyle w:val="ListBullet"/>
      </w:pPr>
      <w:r>
        <w:t>Nielsen Norman Group — Eyetracking Research 2023</w:t>
      </w:r>
    </w:p>
    <w:p>
      <w:pPr>
        <w:pStyle w:val="ListBullet"/>
      </w:pPr>
      <w:r>
        <w:t>VidYard — Video in Business Benchmark Report 2023</w:t>
      </w:r>
    </w:p>
    <w:p>
      <w:pPr>
        <w:pStyle w:val="ListBullet"/>
      </w:pPr>
      <w:r>
        <w:t>Brendan Kane — „Hook Point“ (Buch, 2020) — Pattern-Library</w:t>
      </w:r>
    </w:p>
    <w:p/>
    <w:p>
      <w:r>
        <w:rPr>
          <w:b/>
          <w:i w:val="0"/>
        </w:rPr>
        <w:t>Wissenschaftliche Basis</w:t>
      </w:r>
    </w:p>
    <w:p>
      <w:pPr>
        <w:pStyle w:val="ListBullet"/>
      </w:pPr>
      <w:r>
        <w:t>Loewenstein, G. (1994). The Psychology of Curiosity. Psychological Bulletin</w:t>
      </w:r>
    </w:p>
    <w:p>
      <w:pPr>
        <w:pStyle w:val="ListBullet"/>
      </w:pPr>
      <w:r>
        <w:t>Cialdini, R. (2021). Influence: New &amp; Expanded Edition</w:t>
      </w:r>
    </w:p>
    <w:p>
      <w:pPr>
        <w:pStyle w:val="ListBullet"/>
      </w:pPr>
      <w:r>
        <w:t>Schwartz, E. (1966). Breakthrough Advertising — Awareness-Levels-Modell</w:t>
      </w:r>
    </w:p>
    <w:p>
      <w:pPr>
        <w:pStyle w:val="ListBullet"/>
      </w:pPr>
      <w:r>
        <w:t>Eyal, N. (2014). Hooked — Trigger-Action-Reward Loop</w:t>
      </w:r>
    </w:p>
    <w:p/>
    <w:p>
      <w:r>
        <w:rPr>
          <w:b/>
          <w:i w:val="0"/>
        </w:rPr>
        <w:t>Tool-interne Referenzen</w:t>
      </w:r>
    </w:p>
    <w:p>
      <w:pPr>
        <w:pStyle w:val="ListBullet"/>
      </w:pPr>
      <w:r>
        <w:t>Best-in-Class-Creatives-Strategie.docx (Vorgänger-Doc mit 480-Skeleton-Matrix)</w:t>
      </w:r>
    </w:p>
    <w:p>
      <w:pPr>
        <w:pStyle w:val="ListBullet"/>
      </w:pPr>
      <w:r>
        <w:t>src/lib/score/creative.ts — Implementierung der Score-Formel aus Abschnitt 8</w:t>
      </w:r>
    </w:p>
    <w:p>
      <w:pPr>
        <w:pStyle w:val="ListBullet"/>
      </w:pPr>
      <w:r>
        <w:t>src/app/dashboard/generate/variant-plan.ts — orthogonale Variantenrotation aus Abschnitt 9.1</w:t>
      </w:r>
    </w:p>
    <w:p>
      <w:pPr>
        <w:pStyle w:val="ListBullet"/>
      </w:pPr>
      <w:r>
        <w:t>supabase/migrations/20260528_000001_creative_feedback.sql — Stufe-1-Lernschleife</w:t>
      </w:r>
    </w:p>
    <w:p/>
    <w:p/>
    <w:p>
      <w:pPr>
        <w:jc w:val="center"/>
      </w:pPr>
      <w:r>
        <w:rPr>
          <w:i/>
          <w:color w:val="8899AA"/>
          <w:sz w:val="20"/>
        </w:rPr>
        <w:t>— Ende —</w:t>
        <w:br/>
        <w:t>Content-Tool · WODOIL · Mai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