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PingFang TC" w:cs="PingFang TC" w:eastAsia="PingFang TC" w:hAnsi="PingFang TC"/>
          <w:color w:val="8A94A0"/>
          <w:sz w:val="19"/>
          <w:szCs w:val="19"/>
        </w:rPr>
        <w:t xml:space="preserve">圓展教育科技　YZ Education Technology</w:t>
      </w:r>
    </w:p>
    <w:p>
      <w:pPr>
        <w:spacing w:after="40"/>
      </w:pPr>
      <w:r>
        <w:rPr>
          <w:rFonts w:ascii="PingFang TC" w:cs="PingFang TC" w:eastAsia="PingFang TC" w:hAnsi="PingFang TC"/>
          <w:b/>
          <w:bCs/>
          <w:color w:val="111111"/>
          <w:sz w:val="44"/>
          <w:szCs w:val="44"/>
        </w:rPr>
        <w:t xml:space="preserve">Operating Interface 提案 v2</w:t>
      </w:r>
    </w:p>
    <w:p>
      <w:pPr>
        <w:spacing w:after="260"/>
      </w:pPr>
      <w:r>
        <w:rPr>
          <w:rFonts w:ascii="PingFang TC" w:cs="PingFang TC" w:eastAsia="PingFang TC" w:hAnsi="PingFang TC"/>
          <w:color w:val="5A6572"/>
          <w:sz w:val="26"/>
          <w:szCs w:val="26"/>
        </w:rPr>
        <w:t xml:space="preserve">從卡片盤點，改成情境系統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color w:val="222222"/>
          <w:sz w:val="22"/>
          <w:szCs w:val="22"/>
        </w:rPr>
        <w:t xml:space="preserve">v1 回答了「缺哪些介面」，答案是一張卡片清單。但公司運轉時的思考不是「我要開哪個模組」，而是「我現在處在什麼情境」。v2 把整個系統重新組織成 </w:t>
      </w:r>
      <w:r>
        <w:rPr>
          <w:rFonts w:ascii="PingFang TC" w:cs="PingFang TC" w:eastAsia="PingFang TC" w:hAnsi="PingFang TC"/>
          <w:b/>
          <w:bCs/>
          <w:color w:val="222222"/>
          <w:sz w:val="22"/>
          <w:szCs w:val="22"/>
        </w:rPr>
        <w:t xml:space="preserve">7 個情境工作台</w:t>
      </w:r>
      <w:r>
        <w:rPr>
          <w:rFonts w:ascii="PingFang TC" w:cs="PingFang TC" w:eastAsia="PingFang TC" w:hAnsi="PingFang TC"/>
          <w:color w:val="222222"/>
          <w:sz w:val="22"/>
          <w:szCs w:val="22"/>
        </w:rPr>
        <w:t xml:space="preserve">，定義一套統一的導航契約（大概念 → 分頁 → 單一主操作面 + 抽屜子操作），並把日誌變成整個系統的輸入端口。</w:t>
      </w:r>
    </w:p>
    <w:p>
      <w:pPr>
        <w:spacing w:after="200"/>
      </w:pPr>
      <w:r>
        <w:rPr>
          <w:rFonts w:ascii="PingFang TC" w:cs="PingFang TC" w:eastAsia="PingFang TC" w:hAnsi="PingFang TC"/>
          <w:sz w:val="8"/>
          <w:szCs w:val="8"/>
        </w:rPr>
        <w:t xml:space="preserve"/>
      </w:r>
    </w:p>
    <w:tbl>
      <w:tblPr>
        <w:tblW w:type="dxa" w:w="9360"/>
        <w:tblBorders>
          <w:top w:val="single" w:color="D5D9DE" w:sz="2"/>
          <w:left w:val="single" w:color="D5D9DE" w:sz="2"/>
          <w:bottom w:val="single" w:color="D5D9DE" w:sz="2"/>
          <w:right w:val="single" w:color="D5D9DE" w:sz="2"/>
          <w:insideH w:val="single" w:color="E4E7EB" w:sz="2"/>
          <w:insideV w:val="single" w:color="E4E7EB" w:sz="2"/>
        </w:tblBorders>
      </w:tblPr>
      <w:tblGrid>
        <w:gridCol w:w="1685"/>
        <w:gridCol w:w="7675"/>
      </w:tblGrid>
      <w:tr>
        <w:trPr>
          <w:cantSplit/>
          <w:tblHeader/>
        </w:trPr>
        <w:tc>
          <w:tcPr>
            <w:tcW w:type="dxa" w:w="1685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項目</w:t>
            </w:r>
          </w:p>
        </w:tc>
        <w:tc>
          <w:tcPr>
            <w:tcW w:type="dxa" w:w="7675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內容</w:t>
            </w:r>
          </w:p>
        </w:tc>
      </w:tr>
      <w:tr>
        <w:trPr>
          <w:cantSplit/>
        </w:trPr>
        <w:tc>
          <w:tcPr>
            <w:tcW w:type="dxa" w:w="168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版本</w:t>
            </w:r>
          </w:p>
        </w:tc>
        <w:tc>
          <w:tcPr>
            <w:tcW w:type="dxa" w:w="7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v2 · 2026-09-12</w:t>
            </w:r>
          </w:p>
        </w:tc>
      </w:tr>
      <w:tr>
        <w:trPr>
          <w:cantSplit/>
        </w:trPr>
        <w:tc>
          <w:tcPr>
            <w:tcW w:type="dxa" w:w="168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內部依據</w:t>
            </w:r>
          </w:p>
        </w:tc>
        <w:tc>
          <w:tcPr>
            <w:tcW w:type="dxa" w:w="7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Company Handbook v0.1（00–07 章、附錄 B 範本）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圓展教育科技 × Lily 部分工時勞動契約暨專案績效獎金約定書草稿 v1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self-stucture-v1 現有路由盤點｜個人日誌 20260910</w:t>
            </w:r>
          </w:p>
        </w:tc>
      </w:tr>
      <w:tr>
        <w:trPr>
          <w:cantSplit/>
        </w:trPr>
        <w:tc>
          <w:tcPr>
            <w:tcW w:type="dxa" w:w="168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外部依據</w:t>
            </w:r>
          </w:p>
        </w:tc>
        <w:tc>
          <w:tcPr>
            <w:tcW w:type="dxa" w:w="7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流量指標與 Little's Law｜typed-block / supertag 模型｜企業級漸進揭露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承諾登記簿結構｜客戶服務容量模型｜台灣會計憑證鏈（詳見第 06 節）</w:t>
            </w:r>
          </w:p>
        </w:tc>
      </w:tr>
      <w:tr>
        <w:trPr>
          <w:cantSplit/>
        </w:trPr>
        <w:tc>
          <w:tcPr>
            <w:tcW w:type="dxa" w:w="168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相對 v1 的改動</w:t>
            </w:r>
          </w:p>
        </w:tc>
        <w:tc>
          <w:tcPr>
            <w:tcW w:type="dxa" w:w="767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導航契約統一｜日誌升級為輸入端口｜Evidence 升級為可版本化的 Repo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PingFang TC" w:cs="PingFang TC" w:eastAsia="PingFang TC" w:hAnsi="PingFang TC"/>
          <w:b/>
          <w:bCs/>
          <w:color w:val="111111"/>
          <w:sz w:val="32"/>
          <w:szCs w:val="32"/>
        </w:rPr>
        <w:t xml:space="preserve">目錄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420"/>
      </w:pPr>
      <w:r>
        <w:rPr>
          <w:rFonts w:ascii="PingFang TC" w:cs="PingFang TC" w:eastAsia="PingFang TC" w:hAnsi="PingFang TC"/>
          <w:b/>
          <w:bCs/>
          <w:color w:val="111111"/>
          <w:sz w:val="32"/>
          <w:szCs w:val="32"/>
        </w:rPr>
        <w:t xml:space="preserve">00　v1 錯在哪裡</w:t>
      </w:r>
    </w:p>
    <w:p>
      <w:pPr>
        <w:pStyle w:val="Heading3"/>
        <w:spacing w:after="100" w:before="240"/>
      </w:pPr>
      <w:r>
        <w:rPr>
          <w:rFonts w:ascii="PingFang TC" w:cs="PingFang TC" w:eastAsia="PingFang TC" w:hAnsi="PingFang TC"/>
          <w:b/>
          <w:bCs/>
          <w:color w:val="333333"/>
          <w:sz w:val="22"/>
          <w:szCs w:val="22"/>
        </w:rPr>
        <w:t xml:space="preserve">問題一　模組導向，不是情境導向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v1 列了 24 個介面，但沒有回答「我早上打開電腦第一個看到什麼」。使用者不會先想「我要用 Evidence 模組」，他會想「這個案子該收尾了」。介面清單解決的是完整性，情境系統解決的是可用性——兩人公司缺的是後者。</w:t>
      </w:r>
    </w:p>
    <w:p>
      <w:pPr>
        <w:pStyle w:val="Heading3"/>
        <w:spacing w:after="100" w:before="240"/>
      </w:pPr>
      <w:r>
        <w:rPr>
          <w:rFonts w:ascii="PingFang TC" w:cs="PingFang TC" w:eastAsia="PingFang TC" w:hAnsi="PingFang TC"/>
          <w:b/>
          <w:bCs/>
          <w:color w:val="333333"/>
          <w:sz w:val="22"/>
          <w:szCs w:val="22"/>
        </w:rPr>
        <w:t xml:space="preserve">問題二　卡片海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每個畫面都是一堆並列卡片。並列的意思是「你自己決定看哪個」，等於把認知成本丟回給人。專注一件事需要的是一個主操作面，而不是六張等權重的摘要方塊。</w:t>
      </w:r>
    </w:p>
    <w:p>
      <w:pPr>
        <w:pStyle w:val="Heading3"/>
        <w:spacing w:after="100" w:before="240"/>
      </w:pPr>
      <w:r>
        <w:rPr>
          <w:rFonts w:ascii="PingFang TC" w:cs="PingFang TC" w:eastAsia="PingFang TC" w:hAnsi="PingFang TC"/>
          <w:b/>
          <w:bCs/>
          <w:color w:val="333333"/>
          <w:sz w:val="22"/>
          <w:szCs w:val="22"/>
        </w:rPr>
        <w:t xml:space="preserve">問題三　Evidence 被當成欄位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v1 把 Evidence 做成 Issue 上的附件列表。但專案收尾是一個整理與敘事的過程——像 GitHub repo 那樣有結構、有 README、有版本演化，不是一堆散落的連結。</w:t>
      </w:r>
    </w:p>
    <w:p>
      <w:pPr>
        <w:spacing w:after="60"/>
      </w:pPr>
      <w:r>
        <w:rPr>
          <w:rFonts w:ascii="PingFang TC" w:cs="PingFang TC" w:eastAsia="PingFang TC" w:hAnsi="PingFang TC"/>
          <w:sz w:val="8"/>
          <w:szCs w:val="8"/>
        </w:rPr>
        <w:t xml:space="preserve"/>
      </w:r>
    </w:p>
    <w:tbl>
      <w:tblPr>
        <w:tblW w:type="dxa" w:w="9360"/>
        <w:tblBorders>
          <w:top w:val="single" w:color="DCE3EC" w:sz="2"/>
          <w:left w:val="single" w:color="2F6FA8" w:sz="18"/>
          <w:bottom w:val="single" w:color="DCE3EC" w:sz="2"/>
          <w:right w:val="single" w:color="DCE3EC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3F6F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PingFang TC" w:cs="PingFang TC" w:eastAsia="PingFang TC" w:hAnsi="PingFang TC"/>
                <w:b/>
                <w:bCs/>
                <w:color w:val="2F6FA8"/>
                <w:sz w:val="20"/>
                <w:szCs w:val="20"/>
              </w:rPr>
              <w:t xml:space="preserve">v2 的三個改動</w:t>
            </w:r>
          </w:p>
          <w:p>
            <w:pPr>
              <w:spacing w:after="80" w:line="29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20"/>
                <w:szCs w:val="20"/>
              </w:rPr>
              <w:t xml:space="preserve">1. 導航契約統一。</w:t>
            </w:r>
            <w:r>
              <w:rPr>
                <w:rFonts w:ascii="PingFang TC" w:cs="PingFang TC" w:eastAsia="PingFang TC" w:hAnsi="PingFang TC"/>
                <w:color w:val="333333"/>
                <w:sz w:val="20"/>
                <w:szCs w:val="20"/>
              </w:rPr>
              <w:t xml:space="preserve">全系統只有一種結構：一個大概念 → 分頁子概念 → 一個主操作面 + 抽屜／彈窗子操作。任何畫面都不出現三張以上的並列卡片。</w:t>
            </w:r>
          </w:p>
          <w:p>
            <w:pPr>
              <w:spacing w:after="80" w:line="29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20"/>
                <w:szCs w:val="20"/>
              </w:rPr>
              <w:t xml:space="preserve">2. 日誌升級為輸入端口。</w:t>
            </w:r>
            <w:r>
              <w:rPr>
                <w:rFonts w:ascii="PingFang TC" w:cs="PingFang TC" w:eastAsia="PingFang TC" w:hAnsi="PingFang TC"/>
                <w:color w:val="333333"/>
                <w:sz w:val="20"/>
                <w:szCs w:val="20"/>
              </w:rPr>
              <w:t xml:space="preserve">日誌裡的每一個 bullet 都可以被「賦型」成 component（Standup、Issue、Todo、Decision、Expense…），欄位自動長出來。你在寫字，系統在建物件。</w:t>
            </w:r>
          </w:p>
          <w:p>
            <w:pPr>
              <w:spacing w:after="80" w:line="29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20"/>
                <w:szCs w:val="20"/>
              </w:rPr>
              <w:t xml:space="preserve">3. Evidence 升級為 Repo。</w:t>
            </w:r>
            <w:r>
              <w:rPr>
                <w:rFonts w:ascii="PingFang TC" w:cs="PingFang TC" w:eastAsia="PingFang TC" w:hAnsi="PingFang TC"/>
                <w:color w:val="333333"/>
                <w:sz w:val="20"/>
                <w:szCs w:val="20"/>
              </w:rPr>
              <w:t xml:space="preserve">專案不是被「標記完成」，是被收攏成一個可版本化、可審核的資料夾，有 README、有結構、有 tag。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PingFang TC" w:cs="PingFang TC" w:eastAsia="PingFang TC" w:hAnsi="PingFang TC"/>
          <w:b/>
          <w:bCs/>
          <w:color w:val="111111"/>
          <w:sz w:val="32"/>
          <w:szCs w:val="32"/>
        </w:rPr>
        <w:t xml:space="preserve">01　導航契約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這一節是整份提案最重要的部分。它不是視覺規範，是一條所有畫面都必須遵守的結構規則——有了它，你才能「一次專注一件事，同時很好地穿梭在多階層概念之間」。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TC" w:cs="PingFang TC" w:eastAsia="PingFang TC" w:hAnsi="PingFang TC"/>
          <w:color w:val="777777"/>
          <w:sz w:val="17"/>
          <w:szCs w:val="17"/>
        </w:rPr>
        <w:t xml:space="preserve">fig 1　三層導航契約。層級只有三層——研究顯示企業級介面的漸進揭露以三層為安全上限：常駐功能／一次互動可達／專屬區域。</w:t>
      </w:r>
    </w:p>
    <w:p>
      <w:pPr>
        <w:pStyle w:val="Heading2"/>
        <w:spacing w:after="120" w:before="300"/>
      </w:pPr>
      <w:r>
        <w:rPr>
          <w:rFonts w:ascii="PingFang TC" w:cs="PingFang TC" w:eastAsia="PingFang TC" w:hAnsi="PingFang TC"/>
          <w:b/>
          <w:bCs/>
          <w:color w:val="1a1a1a"/>
          <w:sz w:val="25"/>
          <w:szCs w:val="25"/>
        </w:rPr>
        <w:t xml:space="preserve">三個導航動作，涵蓋所有穿梭需求</w:t>
      </w:r>
    </w:p>
    <w:tbl>
      <w:tblPr>
        <w:tblW w:type="dxa" w:w="9360"/>
        <w:tblBorders>
          <w:top w:val="single" w:color="D5D9DE" w:sz="2"/>
          <w:left w:val="single" w:color="D5D9DE" w:sz="2"/>
          <w:bottom w:val="single" w:color="D5D9DE" w:sz="2"/>
          <w:right w:val="single" w:color="D5D9DE" w:sz="2"/>
          <w:insideH w:val="single" w:color="E4E7EB" w:sz="2"/>
          <w:insideV w:val="single" w:color="E4E7EB" w:sz="2"/>
        </w:tblBorders>
      </w:tblPr>
      <w:tblGrid>
        <w:gridCol w:w="1310"/>
        <w:gridCol w:w="1872"/>
        <w:gridCol w:w="3557"/>
        <w:gridCol w:w="2621"/>
      </w:tblGrid>
      <w:tr>
        <w:trPr>
          <w:cantSplit/>
          <w:tblHeader/>
        </w:trPr>
        <w:tc>
          <w:tcPr>
            <w:tcW w:type="dxa" w:w="1310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動作</w:t>
            </w:r>
          </w:p>
        </w:tc>
        <w:tc>
          <w:tcPr>
            <w:tcW w:type="dxa" w:w="1872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操作</w:t>
            </w:r>
          </w:p>
        </w:tc>
        <w:tc>
          <w:tcPr>
            <w:tcW w:type="dxa" w:w="3557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發生什麼</w:t>
            </w:r>
          </w:p>
        </w:tc>
        <w:tc>
          <w:tcPr>
            <w:tcW w:type="dxa" w:w="2621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用在哪</w:t>
            </w:r>
          </w:p>
        </w:tc>
      </w:tr>
      <w:tr>
        <w:trPr>
          <w:cantSplit/>
        </w:trPr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下鑽 Drill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點擊主面上的一列</w:t>
            </w:r>
          </w:p>
        </w:tc>
        <w:tc>
          <w:tcPr>
            <w:tcW w:type="dxa" w:w="35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右側抽屜滑出該物件詳情，主面保留在原位、原捲動位置</w:t>
            </w:r>
          </w:p>
        </w:tc>
        <w:tc>
          <w:tcPr>
            <w:tcW w:type="dxa" w:w="262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表格點一筆交易、時間線點一個事件、大綱點一個 block</w:t>
            </w:r>
          </w:p>
        </w:tc>
      </w:tr>
      <w:tr>
        <w:trPr>
          <w:cantSplit/>
        </w:trPr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旁移 Peek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在抽屜裡點另一個物件的連結</w:t>
            </w:r>
          </w:p>
        </w:tc>
        <w:tc>
          <w:tcPr>
            <w:tcW w:type="dxa" w:w="35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抽屜內容替換，可用麵包屑退回；不新開視窗、不離開主面</w:t>
            </w:r>
          </w:p>
        </w:tc>
        <w:tc>
          <w:tcPr>
            <w:tcW w:type="dxa" w:w="262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交易 → 專案 → 該專案的獎金確認單</w:t>
            </w:r>
          </w:p>
        </w:tc>
      </w:tr>
      <w:tr>
        <w:trPr>
          <w:cantSplit/>
        </w:trPr>
        <w:tc>
          <w:tcPr>
            <w:tcW w:type="dxa" w:w="131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跳躍 Jump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⌘K 命令面板</w:t>
            </w:r>
          </w:p>
        </w:tc>
        <w:tc>
          <w:tcPr>
            <w:tcW w:type="dxa" w:w="355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跨全系統模糊搜尋任何物件與任何動作，直接落地到該處</w:t>
            </w:r>
          </w:p>
        </w:tc>
        <w:tc>
          <w:tcPr>
            <w:tcW w:type="dxa" w:w="2621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「柏翰」「LAND-012」「記一筆支出」「本月工時」</w:t>
            </w:r>
          </w:p>
        </w:tc>
      </w:tr>
    </w:tbl>
    <w:p>
      <w:pPr>
        <w:spacing w:after="160"/>
      </w:pPr>
      <w:r>
        <w:rPr>
          <w:rFonts w:ascii="PingFang TC" w:cs="PingFang TC" w:eastAsia="PingFang TC" w:hAnsi="PingFang TC"/>
          <w:sz w:val="8"/>
          <w:szCs w:val="8"/>
        </w:rPr>
        <w:t xml:space="preserve"/>
      </w:r>
    </w:p>
    <w:tbl>
      <w:tblPr>
        <w:tblW w:type="dxa" w:w="9360"/>
        <w:tblBorders>
          <w:top w:val="single" w:color="DCE3EC" w:sz="2"/>
          <w:left w:val="single" w:color="B5822A" w:sz="18"/>
          <w:bottom w:val="single" w:color="DCE3EC" w:sz="2"/>
          <w:right w:val="single" w:color="DCE3EC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6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PingFang TC" w:cs="PingFang TC" w:eastAsia="PingFang TC" w:hAnsi="PingFang TC"/>
                <w:b/>
                <w:bCs/>
                <w:color w:val="B5822A"/>
                <w:sz w:val="20"/>
                <w:szCs w:val="20"/>
              </w:rPr>
              <w:t xml:space="preserve">反卡片三條硬規則</w:t>
            </w:r>
          </w:p>
          <w:p>
            <w:pPr>
              <w:spacing w:after="80" w:line="29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20"/>
                <w:szCs w:val="20"/>
              </w:rPr>
              <w:t xml:space="preserve">一個分頁只有一個主操作面。</w:t>
            </w:r>
            <w:r>
              <w:rPr>
                <w:rFonts w:ascii="PingFang TC" w:cs="PingFang TC" w:eastAsia="PingFang TC" w:hAnsi="PingFang TC"/>
                <w:color w:val="333333"/>
                <w:sz w:val="20"/>
                <w:szCs w:val="20"/>
              </w:rPr>
              <w:t xml:space="preserve">需要第二個主面，就是需要第二個分頁。</w:t>
            </w:r>
          </w:p>
          <w:p>
            <w:pPr>
              <w:spacing w:after="80" w:line="29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20"/>
                <w:szCs w:val="20"/>
              </w:rPr>
              <w:t xml:space="preserve">並列區塊上限三個，且必須是同一物件的不同面向</w:t>
            </w:r>
            <w:r>
              <w:rPr>
                <w:rFonts w:ascii="PingFang TC" w:cs="PingFang TC" w:eastAsia="PingFang TC" w:hAnsi="PingFang TC"/>
                <w:color w:val="333333"/>
                <w:sz w:val="20"/>
                <w:szCs w:val="20"/>
              </w:rPr>
              <w:t xml:space="preserve">（例如專案的「進度／成本／承諾」），不能是不相干的模組摘要。</w:t>
            </w:r>
          </w:p>
          <w:p>
            <w:pPr>
              <w:spacing w:after="80" w:line="29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20"/>
                <w:szCs w:val="20"/>
              </w:rPr>
              <w:t xml:space="preserve">資訊密度優先於展開。</w:t>
            </w:r>
            <w:r>
              <w:rPr>
                <w:rFonts w:ascii="PingFang TC" w:cs="PingFang TC" w:eastAsia="PingFang TC" w:hAnsi="PingFang TC"/>
                <w:color w:val="333333"/>
                <w:sz w:val="20"/>
                <w:szCs w:val="20"/>
              </w:rPr>
              <w:t xml:space="preserve">列表一行就顯示完整 metadata（狀態、負責人、專案、金額、時間），不要做「點開卡片才看得到」。要看更多才開抽屜。</w:t>
            </w:r>
          </w:p>
        </w:tc>
      </w:tr>
    </w:tbl>
    <w:p>
      <w:pPr>
        <w:spacing w:after="160"/>
      </w:pPr>
      <w:r>
        <w:rPr>
          <w:rFonts w:ascii="PingFang TC" w:cs="PingFang TC" w:eastAsia="PingFang TC" w:hAnsi="PingFang TC"/>
          <w:sz w:val="8"/>
          <w:szCs w:val="8"/>
        </w:rPr>
        <w:t xml:space="preserve"/>
      </w:r>
    </w:p>
    <w:tbl>
      <w:tblPr>
        <w:tblW w:type="dxa" w:w="9360"/>
        <w:tblBorders>
          <w:top w:val="single" w:color="DCE3EC" w:sz="2"/>
          <w:left w:val="single" w:color="5A6572" w:sz="18"/>
          <w:bottom w:val="single" w:color="DCE3EC" w:sz="2"/>
          <w:right w:val="single" w:color="DCE3EC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6F8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PingFang TC" w:cs="PingFang TC" w:eastAsia="PingFang TC" w:hAnsi="PingFang TC"/>
                <w:b/>
                <w:bCs/>
                <w:color w:val="5A6572"/>
                <w:sz w:val="20"/>
                <w:szCs w:val="20"/>
              </w:rPr>
              <w:t xml:space="preserve">固定選項，不做設定</w:t>
            </w:r>
          </w:p>
          <w:p>
            <w:pPr>
              <w:spacing w:after="80" w:line="290"/>
            </w:pPr>
            <w:r>
              <w:rPr>
                <w:rFonts w:ascii="PingFang TC" w:cs="PingFang TC" w:eastAsia="PingFang TC" w:hAnsi="PingFang TC"/>
                <w:color w:val="333333"/>
                <w:sz w:val="20"/>
                <w:szCs w:val="20"/>
              </w:rPr>
              <w:t xml:space="preserve">兩人公司最貴的不是功能不足，是設定過多。狀態集合、專案類型、成本類別、Size 刻度全部寫死在程式裡，不做設定頁。當某個寫死的值真的不夠用，那是一次 commit，不是一個給使用者的下拉選單。</w:t>
            </w:r>
          </w:p>
        </w:tc>
      </w:tr>
    </w:tbl>
    <w:p>
      <w:pPr>
        <w:spacing w:after="200"/>
      </w:pPr>
      <w:r>
        <w:rPr>
          <w:rFonts w:ascii="PingFang TC" w:cs="PingFang TC" w:eastAsia="PingFang TC" w:hAnsi="PingFang TC"/>
          <w:sz w:val="8"/>
          <w:szCs w:val="8"/>
        </w:rPr>
        <w:t xml:space="preserve"/>
      </w:r>
    </w:p>
    <w:p>
      <w:pPr>
        <w:pStyle w:val="Heading1"/>
        <w:spacing w:after="160" w:before="420"/>
      </w:pPr>
      <w:r>
        <w:rPr>
          <w:rFonts w:ascii="PingFang TC" w:cs="PingFang TC" w:eastAsia="PingFang TC" w:hAnsi="PingFang TC"/>
          <w:b/>
          <w:bCs/>
          <w:color w:val="111111"/>
          <w:sz w:val="32"/>
          <w:szCs w:val="32"/>
        </w:rPr>
        <w:t xml:space="preserve">02　核心原語：Component Block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「日記可以叫出 component 進行填寫更新，也可以建立 Issue、Todo」——這在技術上是一個很明確的模型：把大綱裡的每一個 bullet 當成一個可被賦型的節點。純文字 bullet 就是純文字；打上型別，欄位就長出來，它同時變成一個可被全系統查詢的物件。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PingFang TC" w:cs="PingFang TC" w:eastAsia="PingFang TC" w:hAnsi="PingFang TC"/>
          <w:color w:val="777777"/>
          <w:sz w:val="17"/>
          <w:szCs w:val="17"/>
        </w:rPr>
        <w:t xml:space="preserve">fig 2　一個 bullet 的生命週期。這個模型在 Tana 稱為 supertag：標籤不只是分類，而是「這個節點屬於哪一個資料庫」，套上去之後預設欄位自動浮現，並可在型別之間繼承。</w:t>
      </w:r>
    </w:p>
    <w:p>
      <w:pPr>
        <w:pStyle w:val="Heading2"/>
        <w:spacing w:after="120" w:before="300"/>
      </w:pPr>
      <w:r>
        <w:rPr>
          <w:rFonts w:ascii="PingFang TC" w:cs="PingFang TC" w:eastAsia="PingFang TC" w:hAnsi="PingFang TC"/>
          <w:b/>
          <w:bCs/>
          <w:color w:val="1a1a1a"/>
          <w:sz w:val="25"/>
          <w:szCs w:val="25"/>
        </w:rPr>
        <w:t xml:space="preserve">三條讓它不會失控的規則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賦型是明確動作，不是自動偵測。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AI 可以建議「這句話看起來像 Issue」，但一定要你按下去才成立。否則日誌會變成第二份待辦清單，兩邊都不準。這正是 Handbook 04.1 說的「不要為了餵 AI 而維護第二套資料」。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型別最多 8 種，寫死。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超過 8 種你會記不住斜線指令，這個機制就死了。建議：standup / issue / todo / decision / expense / evidence / meeting / commitment。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物件有唯一家。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Issue 的家在專案，Expense 的家在帳本，日誌只是它誕生的地方。日誌顯示的是連結與即時狀態，不是副本。在日誌裡改欄位＝改專案裡的那個 Issue。</w:t>
      </w:r>
    </w:p>
    <w:p>
      <w:r>
        <w:br w:type="page"/>
      </w:r>
    </w:p>
    <w:p>
      <w:pPr>
        <w:pStyle w:val="Heading1"/>
        <w:spacing w:after="160" w:before="420"/>
      </w:pPr>
      <w:r>
        <w:rPr>
          <w:rFonts w:ascii="PingFang TC" w:cs="PingFang TC" w:eastAsia="PingFang TC" w:hAnsi="PingFang TC"/>
          <w:b/>
          <w:bCs/>
          <w:color w:val="111111"/>
          <w:sz w:val="32"/>
          <w:szCs w:val="32"/>
        </w:rPr>
        <w:t xml:space="preserve">03　七個情境工作台</w:t>
      </w:r>
    </w:p>
    <w:tbl>
      <w:tblPr>
        <w:tblW w:type="dxa" w:w="9360"/>
        <w:tblBorders>
          <w:top w:val="single" w:color="D5D9DE" w:sz="2"/>
          <w:left w:val="single" w:color="D5D9DE" w:sz="2"/>
          <w:bottom w:val="single" w:color="D5D9DE" w:sz="2"/>
          <w:right w:val="single" w:color="D5D9DE" w:sz="2"/>
          <w:insideH w:val="single" w:color="E4E7EB" w:sz="2"/>
          <w:insideV w:val="single" w:color="E4E7EB" w:sz="2"/>
        </w:tblBorders>
      </w:tblPr>
      <w:tblGrid>
        <w:gridCol w:w="749"/>
        <w:gridCol w:w="2434"/>
        <w:gridCol w:w="1123"/>
        <w:gridCol w:w="2808"/>
        <w:gridCol w:w="2246"/>
      </w:tblGrid>
      <w:tr>
        <w:trPr>
          <w:cantSplit/>
          <w:tblHeader/>
        </w:trPr>
        <w:tc>
          <w:tcPr>
            <w:tcW w:type="dxa" w:w="749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#</w:t>
            </w:r>
          </w:p>
        </w:tc>
        <w:tc>
          <w:tcPr>
            <w:tcW w:type="dxa" w:w="2434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情境（你腦中的句子）</w:t>
            </w:r>
          </w:p>
        </w:tc>
        <w:tc>
          <w:tcPr>
            <w:tcW w:type="dxa" w:w="1123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工作台</w:t>
            </w:r>
          </w:p>
        </w:tc>
        <w:tc>
          <w:tcPr>
            <w:tcW w:type="dxa" w:w="2808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分頁</w:t>
            </w:r>
          </w:p>
        </w:tc>
        <w:tc>
          <w:tcPr>
            <w:tcW w:type="dxa" w:w="2246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主操作面</w:t>
            </w:r>
          </w:p>
        </w:tc>
      </w:tr>
      <w:tr>
        <w:trPr>
          <w:cantSplit/>
        </w:trPr>
        <w:tc>
          <w:tcPr>
            <w:tcW w:type="dxa" w:w="7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WB1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我開始一天了</w:t>
            </w:r>
          </w:p>
        </w:tc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日誌</w:t>
            </w:r>
          </w:p>
        </w:tc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今天 / 回顧 / 標籤流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大綱編輯器</w:t>
            </w:r>
          </w:p>
        </w:tc>
      </w:tr>
      <w:tr>
        <w:trPr>
          <w:cantSplit/>
        </w:trPr>
        <w:tc>
          <w:tcPr>
            <w:tcW w:type="dxa" w:w="7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WB2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這陣子有沒有關鍵時間</w:t>
            </w:r>
          </w:p>
        </w:tc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時間線</w:t>
            </w:r>
          </w:p>
        </w:tc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專案層 / 日常層 / 行政層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可 CRUD 的時間軸</w:t>
            </w:r>
          </w:p>
        </w:tc>
      </w:tr>
      <w:tr>
        <w:trPr>
          <w:cantSplit/>
        </w:trPr>
        <w:tc>
          <w:tcPr>
            <w:tcW w:type="dxa" w:w="7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WB3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我現在該做什麼，對得上目標嗎</w:t>
            </w:r>
          </w:p>
        </w:tc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工作台</w:t>
            </w:r>
          </w:p>
        </w:tc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過去–現在–未來 / 目標對齊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三段式時序欄</w:t>
            </w:r>
          </w:p>
        </w:tc>
      </w:tr>
      <w:tr>
        <w:trPr>
          <w:cantSplit/>
        </w:trPr>
        <w:tc>
          <w:tcPr>
            <w:tcW w:type="dxa" w:w="7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WB4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這個案子怎麼推、怎麼收尾</w:t>
            </w:r>
          </w:p>
        </w:tc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專案</w:t>
            </w:r>
          </w:p>
        </w:tc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總覽 / 工作 / 對話 / Evidence Repo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依分頁而異</w:t>
            </w:r>
          </w:p>
        </w:tc>
      </w:tr>
      <w:tr>
        <w:trPr>
          <w:cantSplit/>
        </w:trPr>
        <w:tc>
          <w:tcPr>
            <w:tcW w:type="dxa" w:w="7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WB5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這筆錢是什麼、對得起來嗎</w:t>
            </w:r>
          </w:p>
        </w:tc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金流</w:t>
            </w:r>
          </w:p>
        </w:tc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帳本 / 報帳 / 人事 / 專案預算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試算表格</w:t>
            </w:r>
          </w:p>
        </w:tc>
      </w:tr>
      <w:tr>
        <w:trPr>
          <w:cantSplit/>
        </w:trPr>
        <w:tc>
          <w:tcPr>
            <w:tcW w:type="dxa" w:w="7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WB6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我們吃得下嗎、什麼時候會做完</w:t>
            </w:r>
          </w:p>
        </w:tc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容量</w:t>
            </w:r>
          </w:p>
        </w:tc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週配置 / 流量指標 / 預測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配置表 + 分布圖</w:t>
            </w:r>
          </w:p>
        </w:tc>
      </w:tr>
      <w:tr>
        <w:trPr>
          <w:cantSplit/>
        </w:trPr>
        <w:tc>
          <w:tcPr>
            <w:tcW w:type="dxa" w:w="74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WB7</w:t>
            </w:r>
          </w:p>
        </w:tc>
        <w:tc>
          <w:tcPr>
            <w:tcW w:type="dxa" w:w="243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我們說到的做到了嗎</w:t>
            </w:r>
          </w:p>
        </w:tc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承諾</w:t>
            </w:r>
          </w:p>
        </w:tc>
        <w:tc>
          <w:tcPr>
            <w:tcW w:type="dxa" w:w="280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內部承諾 / 外部承諾</w:t>
            </w:r>
          </w:p>
        </w:tc>
        <w:tc>
          <w:tcPr>
            <w:tcW w:type="dxa" w:w="224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文件 ↔ 數據雙欄</w:t>
            </w:r>
          </w:p>
        </w:tc>
      </w:tr>
    </w:tbl>
    <w:p>
      <w:pPr>
        <w:pStyle w:val="Heading2"/>
        <w:spacing w:after="120" w:before="300"/>
      </w:pPr>
      <w:r>
        <w:rPr>
          <w:rFonts w:ascii="PingFang TC" w:cs="PingFang TC" w:eastAsia="PingFang TC" w:hAnsi="PingFang TC"/>
          <w:b/>
          <w:bCs/>
          <w:color w:val="1a1a1a"/>
          <w:sz w:val="25"/>
          <w:szCs w:val="25"/>
        </w:rPr>
        <w:t xml:space="preserve">WB1　日誌 — 系統的輸入端口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2828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主操作面：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大綱編輯器，跟現有日記的手感一致。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抽屜：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點任何已賦型的 block，右側滑出該物件的完整欄位，可直接編輯。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「回顧」分頁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把過去 N 天的日誌串成一條連續敘事（不是日曆格），這是「以時間序幫助個人工作者推論」的具體形式。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「標籤流」分頁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依 tag 橫切，看某個專案在時間軸上的所有提及——這是把散落的思考收攏成專案脈絡的地方。</w:t>
      </w:r>
    </w:p>
    <w:p>
      <w:pPr>
        <w:pStyle w:val="Heading2"/>
        <w:spacing w:after="120" w:before="300"/>
      </w:pPr>
      <w:r>
        <w:rPr>
          <w:rFonts w:ascii="PingFang TC" w:cs="PingFang TC" w:eastAsia="PingFang TC" w:hAnsi="PingFang TC"/>
          <w:b/>
          <w:bCs/>
          <w:color w:val="1a1a1a"/>
          <w:sz w:val="25"/>
          <w:szCs w:val="25"/>
        </w:rPr>
        <w:t xml:space="preserve">WB2　時間線 — 三層行事曆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三層：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專案層（交付、驗收、里程碑）／日常層（cowork、會議、學習日、活動）／行政層（發薪、勞健保、報稅、契約檢核）。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★ 星標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＝ 這件事錯過會痛，會被 WB3 的「未來」欄優先撈出來。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完整 CRUD，但有一個例外：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由合約條文自動推導出來的事件（發薪日、驗收到期、30／60／90 日對話）不可刪除，只能標記「已履行」或「已協議變更」並附理由。這是承諾與安排的分界線，也是 v2 引入 TimelineEvent.derived_from 欄位的原因。</w:t>
      </w:r>
    </w:p>
    <w:p>
      <w:pPr>
        <w:pStyle w:val="Heading2"/>
        <w:spacing w:after="120" w:before="300"/>
      </w:pPr>
      <w:r>
        <w:rPr>
          <w:rFonts w:ascii="PingFang TC" w:cs="PingFang TC" w:eastAsia="PingFang TC" w:hAnsi="PingFang TC"/>
          <w:b/>
          <w:bCs/>
          <w:color w:val="1a1a1a"/>
          <w:sz w:val="25"/>
          <w:szCs w:val="25"/>
        </w:rPr>
        <w:t xml:space="preserve">WB3　工作台 — 過去、現在、未來 × 目標對齊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這頁回答一句話：我今天做的事，有沒有推到我說要去的地方。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「連續 3 週未投入」這種訊號才是有價值的——它把「行動層 vs 目標層的落差」變成可見，而不是等到季度回顧才發現某個目標整季沒動。目標對齊分頁同時也是月營運會議的開場畫面。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注意「現在」欄裡的 age 欄位：11 天的 Issue 被標紅。Work Item Age 是唯一的領先指標，所以它必須出現在你每天會看的這一頁，而不是埋在容量報表裡。</w:t>
      </w:r>
    </w:p>
    <w:p>
      <w:pPr>
        <w:pStyle w:val="Heading2"/>
        <w:spacing w:after="120" w:before="300"/>
      </w:pPr>
      <w:r>
        <w:rPr>
          <w:rFonts w:ascii="PingFang TC" w:cs="PingFang TC" w:eastAsia="PingFang TC" w:hAnsi="PingFang TC"/>
          <w:b/>
          <w:bCs/>
          <w:color w:val="1a1a1a"/>
          <w:sz w:val="25"/>
          <w:szCs w:val="25"/>
        </w:rPr>
        <w:t xml:space="preserve">WB4　專案 — 含 Evidence Repo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461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這是 v2 最大的結構改動。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Evidence 不是欄位，是一個有資料夾結構、有 README、有版本 tag 的 repo。專案不是「被標記完成」，是被整理成一份三個月後還讀得懂的東西。</w:t>
      </w:r>
    </w:p>
    <w:p>
      <w:pPr>
        <w:spacing w:after="60"/>
      </w:pPr>
      <w:r>
        <w:rPr>
          <w:rFonts w:ascii="PingFang TC" w:cs="PingFang TC" w:eastAsia="PingFang TC" w:hAnsi="PingFang TC"/>
          <w:sz w:val="8"/>
          <w:szCs w:val="8"/>
        </w:rPr>
        <w:t xml:space="preserve"/>
      </w:r>
    </w:p>
    <w:tbl>
      <w:tblPr>
        <w:tblW w:type="dxa" w:w="9360"/>
        <w:tblBorders>
          <w:top w:val="single" w:color="D5D9DE" w:sz="2"/>
          <w:left w:val="single" w:color="D5D9DE" w:sz="2"/>
          <w:bottom w:val="single" w:color="D5D9DE" w:sz="2"/>
          <w:right w:val="single" w:color="D5D9DE" w:sz="2"/>
          <w:insideH w:val="single" w:color="E4E7EB" w:sz="2"/>
          <w:insideV w:val="single" w:color="E4E7EB" w:sz="2"/>
        </w:tblBorders>
      </w:tblPr>
      <w:tblGrid>
        <w:gridCol w:w="2059"/>
        <w:gridCol w:w="4306"/>
        <w:gridCol w:w="2995"/>
      </w:tblGrid>
      <w:tr>
        <w:trPr>
          <w:cantSplit/>
          <w:tblHeader/>
        </w:trPr>
        <w:tc>
          <w:tcPr>
            <w:tcW w:type="dxa" w:w="2059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資料夾</w:t>
            </w:r>
          </w:p>
        </w:tc>
        <w:tc>
          <w:tcPr>
            <w:tcW w:type="dxa" w:w="4306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放什麼</w:t>
            </w:r>
          </w:p>
        </w:tc>
        <w:tc>
          <w:tcPr>
            <w:tcW w:type="dxa" w:w="2995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從哪裡自動帶入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README.md</w:t>
            </w:r>
          </w:p>
        </w:tc>
        <w:tc>
          <w:tcPr>
            <w:tcW w:type="dxa" w:w="4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專案敘事：為什麼做、交付了什麼、學到什麼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人工撰寫（結案必填）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CHANGELOG.md</w:t>
            </w:r>
          </w:p>
        </w:tc>
        <w:tc>
          <w:tcPr>
            <w:tcW w:type="dxa" w:w="4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版本演化紀錄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自動生成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01_contract/</w:t>
            </w:r>
          </w:p>
        </w:tc>
        <w:tc>
          <w:tcPr>
            <w:tcW w:type="dxa" w:w="4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報價單、合約、專案獎金確認單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合約庫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02_discovery/</w:t>
            </w:r>
          </w:p>
        </w:tc>
        <w:tc>
          <w:tcPr>
            <w:tcW w:type="dxa" w:w="4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訪談逐字稿、需求清單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對話 Thread 附件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03_delivery/</w:t>
            </w:r>
          </w:p>
        </w:tc>
        <w:tc>
          <w:tcPr>
            <w:tcW w:type="dxa" w:w="4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交付物本體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對話 Thread 附件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04_evidence/</w:t>
            </w:r>
          </w:p>
        </w:tc>
        <w:tc>
          <w:tcPr>
            <w:tcW w:type="dxa" w:w="4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驗收單、客戶回饋、前後數據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Issue 的 Evidence、日誌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05_finance/</w:t>
            </w:r>
          </w:p>
        </w:tc>
        <w:tc>
          <w:tcPr>
            <w:tcW w:type="dxa" w:w="4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成本明細、可分配毛利表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帳本已歸屬交易（自動生成）</w:t>
            </w:r>
          </w:p>
        </w:tc>
      </w:tr>
      <w:tr>
        <w:trPr>
          <w:cantSplit/>
        </w:trPr>
        <w:tc>
          <w:tcPr>
            <w:tcW w:type="dxa" w:w="2059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06_retro/</w:t>
            </w:r>
          </w:p>
        </w:tc>
        <w:tc>
          <w:tcPr>
            <w:tcW w:type="dxa" w:w="4306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結案回顧、可重用資產登錄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人工撰寫（結案必填）</w:t>
            </w:r>
          </w:p>
        </w:tc>
      </w:tr>
    </w:tbl>
    <w:p>
      <w:pPr>
        <w:spacing w:after="140"/>
      </w:pPr>
      <w:r>
        <w:rPr>
          <w:rFonts w:ascii="PingFang TC" w:cs="PingFang TC" w:eastAsia="PingFang TC" w:hAnsi="PingFang TC"/>
          <w:sz w:val="8"/>
          <w:szCs w:val="8"/>
        </w:rPr>
        <w:t xml:space="preserve"/>
      </w:r>
    </w:p>
    <w:tbl>
      <w:tblPr>
        <w:tblW w:type="dxa" w:w="9360"/>
        <w:tblBorders>
          <w:top w:val="single" w:color="DCE3EC" w:sz="2"/>
          <w:left w:val="single" w:color="2E7D5B" w:sz="18"/>
          <w:bottom w:val="single" w:color="DCE3EC" w:sz="2"/>
          <w:right w:val="single" w:color="DCE3EC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0F7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PingFang TC" w:cs="PingFang TC" w:eastAsia="PingFang TC" w:hAnsi="PingFang TC"/>
                <w:b/>
                <w:bCs/>
                <w:color w:val="2E7D5B"/>
                <w:sz w:val="20"/>
                <w:szCs w:val="20"/>
              </w:rPr>
              <w:t xml:space="preserve">版本演化與凍結</w:t>
            </w:r>
          </w:p>
          <w:p>
            <w:pPr>
              <w:spacing w:after="80" w:line="290"/>
            </w:pPr>
            <w:r>
              <w:rPr>
                <w:rFonts w:ascii="PingFang TC" w:cs="PingFang TC" w:eastAsia="PingFang TC" w:hAnsi="PingFang TC"/>
                <w:color w:val="333333"/>
                <w:sz w:val="20"/>
                <w:szCs w:val="20"/>
              </w:rPr>
              <w:t xml:space="preserve">v0.1 Kickoff → v0.5 交付完成 → v0.9 整理中 → v1.0 驗收通過（凍結）→ v1.1 續約</w:t>
            </w:r>
          </w:p>
          <w:p>
            <w:pPr>
              <w:spacing w:after="80" w:line="290"/>
            </w:pPr>
            <w:r>
              <w:rPr>
                <w:rFonts w:ascii="PingFang TC" w:cs="PingFang TC" w:eastAsia="PingFang TC" w:hAnsi="PingFang TC"/>
                <w:color w:val="333333"/>
                <w:sz w:val="20"/>
                <w:szCs w:val="20"/>
              </w:rPr>
              <w:t xml:space="preserve">v1.0 打上去之後該版本內容凍結，雜湊值寫入稽核軌跡；之後的任何修改只能產生 v1.1。結案檢查清單（README 已寫、驗收證據存在、成本明細已提供、結案回顧已寫、可重用資產已登錄）未全部通過，不可標記 v1.0。</w:t>
            </w:r>
          </w:p>
          <w:p>
            <w:pPr>
              <w:spacing w:after="80" w:line="290"/>
            </w:pPr>
            <w:r>
              <w:rPr>
                <w:rFonts w:ascii="PingFang TC" w:cs="PingFang TC" w:eastAsia="PingFang TC" w:hAnsi="PingFang TC"/>
                <w:color w:val="333333"/>
                <w:sz w:val="20"/>
                <w:szCs w:val="20"/>
              </w:rPr>
              <w:t xml:space="preserve">這是把 Handbook 03「Done 應指向 observable outcome」變成系統行為，而不是文件裡的期許。</w:t>
            </w:r>
          </w:p>
        </w:tc>
      </w:tr>
    </w:tbl>
    <w:p>
      <w:pPr>
        <w:pStyle w:val="Heading2"/>
        <w:spacing w:after="120" w:before="300"/>
      </w:pPr>
      <w:r>
        <w:rPr>
          <w:rFonts w:ascii="PingFang TC" w:cs="PingFang TC" w:eastAsia="PingFang TC" w:hAnsi="PingFang TC"/>
          <w:b/>
          <w:bCs/>
          <w:color w:val="1a1a1a"/>
          <w:sz w:val="25"/>
          <w:szCs w:val="25"/>
        </w:rPr>
        <w:t xml:space="preserve">WB5　金流 — 四個分頁</w:t>
      </w:r>
    </w:p>
    <w:p>
      <w:pPr>
        <w:pStyle w:val="Heading3"/>
        <w:spacing w:after="100" w:before="240"/>
      </w:pPr>
      <w:r>
        <w:rPr>
          <w:rFonts w:ascii="PingFang TC" w:cs="PingFang TC" w:eastAsia="PingFang TC" w:hAnsi="PingFang TC"/>
          <w:b/>
          <w:bCs/>
          <w:color w:val="333333"/>
          <w:sz w:val="22"/>
          <w:szCs w:val="22"/>
        </w:rPr>
        <w:t xml:space="preserve">5-a　帳本：表格 ↔ 憑證庫 ↔ 洞察，三層雙向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三個視圖同一份資料，雙向可達。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表格點一列 → 抽屜顯示該列所有憑證影像；憑證庫點一張發票 → 跳回表格並高亮該列。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每張圖表都必須配一段質化說明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——圖回答「是多少」，文字回答「為什麼、所以呢」。沒有文字的圖表在兩人公司沒有價值，因為看圖的人就是做決定的人。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這個設計對應台灣會計的憑證鏈：原始憑證（發票／收據影像）→ 記帳憑證（傳票）→ 分錄 → 帳簿。原始憑證必須附隨於傳票，否則那筆分錄缺乏入帳依據。帳本的每一列就是傳票，抽屜裡的影像就是原始憑證。</w:t>
      </w:r>
    </w:p>
    <w:p>
      <w:pPr>
        <w:pStyle w:val="Heading3"/>
        <w:spacing w:after="100" w:before="240"/>
      </w:pPr>
      <w:r>
        <w:rPr>
          <w:rFonts w:ascii="PingFang TC" w:cs="PingFang TC" w:eastAsia="PingFang TC" w:hAnsi="PingFang TC"/>
          <w:b/>
          <w:bCs/>
          <w:color w:val="333333"/>
          <w:sz w:val="22"/>
          <w:szCs w:val="22"/>
        </w:rPr>
        <w:t xml:space="preserve">5-b　報帳　5-c　人事　5-d　專案預算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報帳分頁：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報帳表格（可編輯）＋「發布報帳連結」（產生外部 token 頁，對方上傳收據與填欄位，不需帳號）＋報帳紀錄（狀態機：待送 → 已送 → 已核 → 已付）。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人事分頁：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我的與員工的薪資、加班、專案獎金、里程碑獎金一表算清。時薪基準 NT$230.77 ＝ 30,000 ÷ 130h（契約 §4.2），高於法定 196。獎金五道閘門（§13.1）內嵌於同頁，未全數成立不得結算。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專案預算分頁：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每個專案一列，預算 vs 實際並排，超支的成本類別直接標紅，點進去是該專案在帳本裡的所有交易。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三者共用帳本的同一份交易資料，只是不同的提問角度。這正是「一個大概念 → 分頁子概念」的價值：不是四套資料，是四種問法。</w:t>
      </w:r>
    </w:p>
    <w:p>
      <w:pPr>
        <w:pStyle w:val="Heading2"/>
        <w:spacing w:after="120" w:before="300"/>
      </w:pPr>
      <w:r>
        <w:rPr>
          <w:rFonts w:ascii="PingFang TC" w:cs="PingFang TC" w:eastAsia="PingFang TC" w:hAnsi="PingFang TC"/>
          <w:b/>
          <w:bCs/>
          <w:color w:val="1a1a1a"/>
          <w:sz w:val="25"/>
          <w:szCs w:val="25"/>
        </w:rPr>
        <w:t xml:space="preserve">WB6　容量 — 從配置到預測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概念鏈 Capacity → Size → WIP → Throughput → Cycle Time → Milestone Forecast 正是流量指標（flow metrics）的標準模型。外部研究確認了三件事，值得寫進設計：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Little's Law：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平均 WIP ＝ 平均 Throughput × 平均 Cycle Time。三個數字不是獨立指標，是同一個系統的三個面，所以介面要把它們放在一起看，不是三張分開的圖。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百分位需要樣本：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一般建議至少 30 個已完成項目才開始談 P50／P85。兩人公司每週完成約 5 項，代表大約 6–8 週後這些數字才有意義。在那之前介面要誠實顯示「樣本不足」，不要給一個假的 P85。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Work Item Age 是唯一的領先指標：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Cycle Time 與 Throughput 都是落後指標，只能事後檢討；只有「這件事已經開始幾天了」能在當下救火。所以 Age 應該出現在 WB3 的「現在」欄。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3990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不填工時估計與實際。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只要有 Started 與 Done 兩個日期，系統就能自己算出所有東西。跑 4–8 週之後你會擁有一個「圓展自己的 Capacity Model」，而不是抄別人的估算法。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預測分頁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用 Monte Carlo 對歷史 throughput 重抽樣，回答「這 12 個 Issue 在 10/31 前做完的機率是多少」——輸出一個機率，不是一個日期。對客戶承諾交期時，用 P85 而不是 P50。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Lily 的週配置同時是契約 §2.4 容量配置方向（付費案 70%／方法與市場資產 20%／產品行銷試驗 10%）的履行檢視。外部參考的健康計費利用率帶在 75–85%，刻意留下緩衝給品質、切換成本與意外——所以每個人的配置表都應該有一欄 Buffer。</w:t>
      </w:r>
    </w:p>
    <w:p>
      <w:pPr>
        <w:pStyle w:val="Heading2"/>
        <w:spacing w:after="120" w:before="300"/>
      </w:pPr>
      <w:r>
        <w:rPr>
          <w:rFonts w:ascii="PingFang TC" w:cs="PingFang TC" w:eastAsia="PingFang TC" w:hAnsi="PingFang TC"/>
          <w:b/>
          <w:bCs/>
          <w:color w:val="1a1a1a"/>
          <w:sz w:val="25"/>
          <w:szCs w:val="25"/>
        </w:rPr>
        <w:t xml:space="preserve">WB7　承諾 — 說到有沒有做到</w:t>
      </w:r>
    </w:p>
    <w:p>
      <w:pPr>
        <w:spacing w:after="60" w:before="140"/>
        <w:jc w:val="center"/>
      </w:pPr>
      <w:r>
        <w:drawing>
          <wp:inline distT="0" distB="0" distL="0" distR="0">
            <wp:extent cx="59055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左：文件原文。中：可被標記的條文。右：那一條的履行證據。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承諾紀錄的欄位參考承諾登記簿（commitment register）的標準結構：唯一編號、承諾日、承諾內容、方向、Owner、狀態、期限、受影響對象、履行證據。生命週期為 新增 → 履行中 → 已完成 → 已結案，結案時必須附上履行證據並告知受影響者。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內部承諾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＝ 對員工、對自己。來源：勞動契約甲方義務（§22.2）、Handbook 裡的工作方式承諾、職位說明書的公司啟動條件。</w:t>
      </w:r>
    </w:p>
    <w:p>
      <w:pPr>
        <w:pStyle w:val="ListParagraph"/>
        <w:numPr>
          <w:ilvl w:val="0"/>
          <w:numId w:val="2"/>
        </w:numPr>
        <w:spacing w:after="9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外部承諾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＝ 對客戶（Proposal 與專案獎金確認單裡的交付標準）、對主管機關（勞健保、報稅、電子發票）。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b/>
          <w:bCs/>
          <w:color w:val="222222"/>
          <w:sz w:val="21"/>
          <w:szCs w:val="21"/>
        </w:rPr>
        <w:t xml:space="preserve">月度回顧手動補 log 是必要設計：</w:t>
      </w: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不是每一條承諾都能被系統自動觀測（行事曆可以證明 1:1 開了，但不能證明「提供了清楚的工作」）。該讓人補的就讓人補，並留下誰補的、何時補的——這本身就是一筆可稽核的紀錄。</w:t>
      </w:r>
    </w:p>
    <w:p>
      <w:r>
        <w:br w:type="page"/>
      </w:r>
    </w:p>
    <w:p>
      <w:pPr>
        <w:pStyle w:val="Heading1"/>
        <w:spacing w:after="160" w:before="420"/>
      </w:pPr>
      <w:r>
        <w:rPr>
          <w:rFonts w:ascii="PingFang TC" w:cs="PingFang TC" w:eastAsia="PingFang TC" w:hAnsi="PingFang TC"/>
          <w:b/>
          <w:bCs/>
          <w:color w:val="111111"/>
          <w:sz w:val="32"/>
          <w:szCs w:val="32"/>
        </w:rPr>
        <w:t xml:space="preserve">04　資料模型骨架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color w:val="222222"/>
          <w:sz w:val="21"/>
          <w:szCs w:val="21"/>
        </w:rPr>
        <w:t xml:space="preserve">七個工作台共用一組物件。介面是視角，這張表才是系統。</w:t>
      </w:r>
    </w:p>
    <w:tbl>
      <w:tblPr>
        <w:tblW w:type="dxa" w:w="9360"/>
        <w:tblBorders>
          <w:top w:val="single" w:color="D5D9DE" w:sz="2"/>
          <w:left w:val="single" w:color="D5D9DE" w:sz="2"/>
          <w:bottom w:val="single" w:color="D5D9DE" w:sz="2"/>
          <w:right w:val="single" w:color="D5D9DE" w:sz="2"/>
          <w:insideH w:val="single" w:color="E4E7EB" w:sz="2"/>
          <w:insideV w:val="single" w:color="E4E7EB" w:sz="2"/>
        </w:tblBorders>
      </w:tblPr>
      <w:tblGrid>
        <w:gridCol w:w="1498"/>
        <w:gridCol w:w="4118"/>
        <w:gridCol w:w="1872"/>
        <w:gridCol w:w="1872"/>
      </w:tblGrid>
      <w:tr>
        <w:trPr>
          <w:cantSplit/>
          <w:tblHeader/>
        </w:trPr>
        <w:tc>
          <w:tcPr>
            <w:tcW w:type="dxa" w:w="1498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物件</w:t>
            </w:r>
          </w:p>
        </w:tc>
        <w:tc>
          <w:tcPr>
            <w:tcW w:type="dxa" w:w="4118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關鍵欄位</w:t>
            </w:r>
          </w:p>
        </w:tc>
        <w:tc>
          <w:tcPr>
            <w:tcW w:type="dxa" w:w="1872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誕生於</w:t>
            </w:r>
          </w:p>
        </w:tc>
        <w:tc>
          <w:tcPr>
            <w:tcW w:type="dxa" w:w="1872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出現在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Block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id, parent, text, type?, created_at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日誌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WB1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Goal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id, title, period, progress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年度營運文件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WB3 WB2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Project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id, goal_id, type（行銷型／產品型／混合）, owner, 交付標準, repo_version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專案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WB2 WB4 WB5 WB6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Issue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id, project_id, owner, size, status, started_at, done_at, blocker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日誌／對話／專案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WB1 WB3 WB4 WB6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Thread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id, project_id, close_summary, decisions[], files[]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專案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WB4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Decision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id, context, evidence, owner, date, supersedes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對話／日誌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WB4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EvidenceRepo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project_id, tree, readme, version, frozen_hash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專案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WB4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Txn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id, date, project_id, category, amount, is_pass_through, vouchers[]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日誌／帳本／報帳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WB5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Voucher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id, txn_id, image, ocr_text, type（發票／收據／合約／匯款單）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憑證庫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WB5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BonusSheet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project_id, 類型, 主要執行者, 加成, 五道閘門, 毛利, 應付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專案啟動前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WB5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CapacityPlan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person_id, week, buckets[]（%）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容量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WB6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Commitment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id, doc_id, clause_ref, direction（內／外）, owner, status, deadline, logs[]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承諾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WB7 WB2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TimelineEvent</w:t>
            </w:r>
          </w:p>
        </w:tc>
        <w:tc>
          <w:tcPr>
            <w:tcW w:type="dxa" w:w="411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id, layer（專案／日常／行政）, starred, derived_from（合約條款→不可刪）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時間線／自動推導</w:t>
            </w:r>
          </w:p>
        </w:tc>
        <w:tc>
          <w:tcPr>
            <w:tcW w:type="dxa" w:w="1872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WB2 WB3</w:t>
            </w:r>
          </w:p>
        </w:tc>
      </w:tr>
    </w:tbl>
    <w:p>
      <w:pPr>
        <w:spacing w:after="160"/>
      </w:pPr>
      <w:r>
        <w:rPr>
          <w:rFonts w:ascii="PingFang TC" w:cs="PingFang TC" w:eastAsia="PingFang TC" w:hAnsi="PingFang TC"/>
          <w:sz w:val="8"/>
          <w:szCs w:val="8"/>
        </w:rPr>
        <w:t xml:space="preserve"/>
      </w:r>
    </w:p>
    <w:tbl>
      <w:tblPr>
        <w:tblW w:type="dxa" w:w="9360"/>
        <w:tblBorders>
          <w:top w:val="single" w:color="DCE3EC" w:sz="2"/>
          <w:left w:val="single" w:color="2E7D5B" w:sz="18"/>
          <w:bottom w:val="single" w:color="DCE3EC" w:sz="2"/>
          <w:right w:val="single" w:color="DCE3EC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0F7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PingFang TC" w:cs="PingFang TC" w:eastAsia="PingFang TC" w:hAnsi="PingFang TC"/>
                <w:b/>
                <w:bCs/>
                <w:color w:val="2E7D5B"/>
                <w:sz w:val="20"/>
                <w:szCs w:val="20"/>
              </w:rPr>
              <w:t xml:space="preserve">三個欄位決定整個系統成不成立</w:t>
            </w:r>
          </w:p>
          <w:p>
            <w:pPr>
              <w:spacing w:after="80" w:line="29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20"/>
                <w:szCs w:val="20"/>
              </w:rPr>
              <w:t xml:space="preserve">Txn.project_id 與 Txn.is_pass_through</w:t>
            </w:r>
            <w:r>
              <w:rPr>
                <w:rFonts w:ascii="PingFang TC" w:cs="PingFang TC" w:eastAsia="PingFang TC" w:hAnsi="PingFang TC"/>
                <w:color w:val="333333"/>
                <w:sz w:val="20"/>
                <w:szCs w:val="20"/>
              </w:rPr>
              <w:t xml:space="preserve">　沒有這兩欄就算不出可分配毛利，算不出毛利就發不出獎金（契約 §9、§10）。廣告媒體費若由客戶直接支付或由公司代收代付，必須分列且不計入。</w:t>
            </w:r>
          </w:p>
          <w:p>
            <w:pPr>
              <w:spacing w:after="80" w:line="29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20"/>
                <w:szCs w:val="20"/>
              </w:rPr>
              <w:t xml:space="preserve">Issue.started_at / done_at</w:t>
            </w:r>
            <w:r>
              <w:rPr>
                <w:rFonts w:ascii="PingFang TC" w:cs="PingFang TC" w:eastAsia="PingFang TC" w:hAnsi="PingFang TC"/>
                <w:color w:val="333333"/>
                <w:sz w:val="20"/>
                <w:szCs w:val="20"/>
              </w:rPr>
              <w:t xml:space="preserve">　沒有這兩個日期就沒有任何流量指標，Capacity Model 永遠建不起來。</w:t>
            </w:r>
          </w:p>
          <w:p>
            <w:pPr>
              <w:spacing w:after="80" w:line="29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20"/>
                <w:szCs w:val="20"/>
              </w:rPr>
              <w:t xml:space="preserve">TimelineEvent.derived_from</w:t>
            </w:r>
            <w:r>
              <w:rPr>
                <w:rFonts w:ascii="PingFang TC" w:cs="PingFang TC" w:eastAsia="PingFang TC" w:hAnsi="PingFang TC"/>
                <w:color w:val="333333"/>
                <w:sz w:val="20"/>
                <w:szCs w:val="20"/>
              </w:rPr>
              <w:t xml:space="preserve">　沒有它就分不出「安排」與「承諾」，承諾會被當成一般行程刪掉。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PingFang TC" w:cs="PingFang TC" w:eastAsia="PingFang TC" w:hAnsi="PingFang TC"/>
          <w:b/>
          <w:bCs/>
          <w:color w:val="111111"/>
          <w:sz w:val="32"/>
          <w:szCs w:val="32"/>
        </w:rPr>
        <w:t xml:space="preserve">05　落地順序</w:t>
      </w:r>
    </w:p>
    <w:tbl>
      <w:tblPr>
        <w:tblW w:type="dxa" w:w="9360"/>
        <w:tblBorders>
          <w:top w:val="single" w:color="D5D9DE" w:sz="2"/>
          <w:left w:val="single" w:color="D5D9DE" w:sz="2"/>
          <w:bottom w:val="single" w:color="D5D9DE" w:sz="2"/>
          <w:right w:val="single" w:color="D5D9DE" w:sz="2"/>
          <w:insideH w:val="single" w:color="E4E7EB" w:sz="2"/>
          <w:insideV w:val="single" w:color="E4E7EB" w:sz="2"/>
        </w:tblBorders>
      </w:tblPr>
      <w:tblGrid>
        <w:gridCol w:w="1123"/>
        <w:gridCol w:w="4493"/>
        <w:gridCol w:w="3744"/>
      </w:tblGrid>
      <w:tr>
        <w:trPr>
          <w:cantSplit/>
          <w:tblHeader/>
        </w:trPr>
        <w:tc>
          <w:tcPr>
            <w:tcW w:type="dxa" w:w="1123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階段</w:t>
            </w:r>
          </w:p>
        </w:tc>
        <w:tc>
          <w:tcPr>
            <w:tcW w:type="dxa" w:w="4493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內容</w:t>
            </w:r>
          </w:p>
        </w:tc>
        <w:tc>
          <w:tcPr>
            <w:tcW w:type="dxa" w:w="3744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完成判準</w:t>
            </w:r>
          </w:p>
        </w:tc>
      </w:tr>
      <w:tr>
        <w:trPr>
          <w:cantSplit/>
        </w:trPr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S1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10/01 前</w:t>
            </w:r>
          </w:p>
        </w:tc>
        <w:tc>
          <w:tcPr>
            <w:tcW w:type="dxa" w:w="449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導航殼層 + WB1 日誌 + WB4 專案（總覽／工作）+ WB2 時間線。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Block 的 5 種型別：standup / issue / todo / decision / expense。⌘K 命令面板。三層導航契約。</w:t>
            </w:r>
          </w:p>
        </w:tc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Lily 到職第一天，所有工作都能在系統裡發生，不需要另開 Notion 或 Sheet</w:t>
            </w:r>
          </w:p>
        </w:tc>
      </w:tr>
      <w:tr>
        <w:trPr>
          <w:cantSplit/>
        </w:trPr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S2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10 月內</w:t>
            </w:r>
          </w:p>
        </w:tc>
        <w:tc>
          <w:tcPr>
            <w:tcW w:type="dxa" w:w="449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WB5 帳本（表格 + 憑證抽屜）+ WB3 工作台。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Txn 三個必填欄位到位。Issue 的 started/done 開始累積。</w:t>
            </w:r>
          </w:p>
        </w:tc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10 月底能算出第一個專案的可分配毛利，且金額經得起 §9.6 的明細檢視</w:t>
            </w:r>
          </w:p>
        </w:tc>
      </w:tr>
      <w:tr>
        <w:trPr>
          <w:cantSplit/>
        </w:trPr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S3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Q4</w:t>
            </w:r>
          </w:p>
        </w:tc>
        <w:tc>
          <w:tcPr>
            <w:tcW w:type="dxa" w:w="449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WB4 Evidence Repo + WB5 人事／報帳／預算 + WB7 承諾。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第一個專案走完完整結案流程。獎金五道閘門自動化。</w:t>
            </w:r>
          </w:p>
        </w:tc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柏翰案能產出一份第三方看得懂的 v1.0 Evidence Repo；11/01 的獎金由系統算出而非人工</w:t>
            </w:r>
          </w:p>
        </w:tc>
      </w:tr>
      <w:tr>
        <w:trPr>
          <w:cantSplit/>
        </w:trPr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S4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Q1 2027</w:t>
            </w:r>
          </w:p>
        </w:tc>
        <w:tc>
          <w:tcPr>
            <w:tcW w:type="dxa" w:w="449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WB6 容量（流量指標 + 預測）。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此時 Issue 樣本已累積 8–12 週。</w:t>
            </w:r>
          </w:p>
        </w:tc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M 尺寸的 Cycle Time P85 有 30+ 樣本，可對客戶承諾交期</w:t>
            </w:r>
          </w:p>
        </w:tc>
      </w:tr>
      <w:tr>
        <w:trPr>
          <w:cantSplit/>
        </w:trPr>
        <w:tc>
          <w:tcPr>
            <w:tcW w:type="dxa" w:w="112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S5</w:t>
            </w:r>
          </w:p>
        </w:tc>
        <w:tc>
          <w:tcPr>
            <w:tcW w:type="dxa" w:w="4493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洞察視圖的質化說明、Monte Carlo 預測、AI Signal</w:t>
            </w:r>
          </w:p>
        </w:tc>
        <w:tc>
          <w:tcPr>
            <w:tcW w:type="dxa" w:w="3744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月營運會議可以直接開這個系統，不用另做簡報</w:t>
            </w:r>
          </w:p>
        </w:tc>
      </w:tr>
    </w:tbl>
    <w:p>
      <w:pPr>
        <w:spacing w:after="160"/>
      </w:pPr>
      <w:r>
        <w:rPr>
          <w:rFonts w:ascii="PingFang TC" w:cs="PingFang TC" w:eastAsia="PingFang TC" w:hAnsi="PingFang TC"/>
          <w:sz w:val="8"/>
          <w:szCs w:val="8"/>
        </w:rPr>
        <w:t xml:space="preserve"/>
      </w:r>
    </w:p>
    <w:tbl>
      <w:tblPr>
        <w:tblW w:type="dxa" w:w="9360"/>
        <w:tblBorders>
          <w:top w:val="single" w:color="DCE3EC" w:sz="2"/>
          <w:left w:val="single" w:color="B5822A" w:sz="18"/>
          <w:bottom w:val="single" w:color="DCE3EC" w:sz="2"/>
          <w:right w:val="single" w:color="DCE3EC" w:sz="2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DF6EA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PingFang TC" w:cs="PingFang TC" w:eastAsia="PingFang TC" w:hAnsi="PingFang TC"/>
                <w:b/>
                <w:bCs/>
                <w:color w:val="B5822A"/>
                <w:sz w:val="20"/>
                <w:szCs w:val="20"/>
              </w:rPr>
              <w:t xml:space="preserve">順序的理由</w:t>
            </w:r>
          </w:p>
          <w:p>
            <w:pPr>
              <w:spacing w:after="80" w:line="290"/>
            </w:pPr>
            <w:r>
              <w:rPr>
                <w:rFonts w:ascii="PingFang TC" w:cs="PingFang TC" w:eastAsia="PingFang TC" w:hAnsi="PingFang TC"/>
                <w:color w:val="333333"/>
                <w:sz w:val="20"/>
                <w:szCs w:val="20"/>
              </w:rPr>
              <w:t xml:space="preserve">WB6 容量排在最後，不是因為不重要，是因為它需要時間累積資料。流量指標在樣本不足時給出的數字，比沒有數字更危險。</w:t>
            </w:r>
          </w:p>
          <w:p>
            <w:pPr>
              <w:spacing w:after="80" w:line="290"/>
            </w:pPr>
            <w:r>
              <w:rPr>
                <w:rFonts w:ascii="PingFang TC" w:cs="PingFang TC" w:eastAsia="PingFang TC" w:hAnsi="PingFang TC"/>
                <w:color w:val="333333"/>
                <w:sz w:val="20"/>
                <w:szCs w:val="20"/>
              </w:rPr>
              <w:t xml:space="preserve">但 Issue.started_at / done_at 必須在 S1 就存在——資料要從第一天開始收，介面可以晚半年再做。這是整份路線圖裡唯一一個「欄位先行、介面後補」的例外。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PingFang TC" w:cs="PingFang TC" w:eastAsia="PingFang TC" w:hAnsi="PingFang TC"/>
          <w:b/>
          <w:bCs/>
          <w:color w:val="111111"/>
          <w:sz w:val="32"/>
          <w:szCs w:val="32"/>
        </w:rPr>
        <w:t xml:space="preserve">06　外部研究依據</w:t>
      </w:r>
    </w:p>
    <w:tbl>
      <w:tblPr>
        <w:tblW w:type="dxa" w:w="9360"/>
        <w:tblBorders>
          <w:top w:val="single" w:color="D5D9DE" w:sz="2"/>
          <w:left w:val="single" w:color="D5D9DE" w:sz="2"/>
          <w:bottom w:val="single" w:color="D5D9DE" w:sz="2"/>
          <w:right w:val="single" w:color="D5D9DE" w:sz="2"/>
          <w:insideH w:val="single" w:color="E4E7EB" w:sz="2"/>
          <w:insideV w:val="single" w:color="E4E7EB" w:sz="2"/>
        </w:tblBorders>
      </w:tblPr>
      <w:tblGrid>
        <w:gridCol w:w="1498"/>
        <w:gridCol w:w="4867"/>
        <w:gridCol w:w="2995"/>
      </w:tblGrid>
      <w:tr>
        <w:trPr>
          <w:cantSplit/>
          <w:tblHeader/>
        </w:trPr>
        <w:tc>
          <w:tcPr>
            <w:tcW w:type="dxa" w:w="1498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主題</w:t>
            </w:r>
          </w:p>
        </w:tc>
        <w:tc>
          <w:tcPr>
            <w:tcW w:type="dxa" w:w="4867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採用的結論</w:t>
            </w:r>
          </w:p>
        </w:tc>
        <w:tc>
          <w:tcPr>
            <w:tcW w:type="dxa" w:w="2995"/>
            <w:shd w:fill="EFF1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333333"/>
                <w:sz w:val="18"/>
                <w:szCs w:val="18"/>
              </w:rPr>
              <w:t xml:space="preserve">來源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流量指標與百分位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WIP／Cycle Time／Throughput／Work Item Age 的定義；Little's Law（平均 WIP ＝ 平均 Throughput × 平均 Cycle Time）；建議至少 30 筆完成項目才談百分位；P85 作為服務水準預期的起點；Work Item Age 為唯一領先指標。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kollabe.com/posts/flow-metrics-for-scrum-teams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prokanban.org/scrum-flow-metrics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55degrees.se/blog/post/agile-forecasting-monte-carlo-simulations-and-flow-metrics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typed block / supertag 模型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標籤即「此節點屬於哪個資料庫」；套用後預設欄位自動浮現；supertag 可繼承；日節點作為擷取入口；任何大綱項目都能被賦型成可查詢的物件。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unlocktana.com/blog/tana-vs-logseq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漸進揭露與企業級導航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三層揭露（常駐／一次互動可達／專屬區域）；modal 用於離散動作，full page 用於需大量互動的流程；對重複執行相同任務的專家使用者，常駐可見優於漸進揭露。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medium.com/@theuxarchitect/progressive-disclosure-in-enterprise-design-less-is-more-until-it-isnt-01c8c6b57da9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nngroup.com/videos/progressive-disclosure/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反配置、鍵盤優先、高資訊密度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⌘K 作為通用入口；固定狀態集而非可配置流程；列表一行顯示完整 metadata 而非卡片展開。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spyglassci.com/blog/why-linear-won-project-management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承諾登記簿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唯一編號／承諾日／內容／類型／Owner／狀態／受影響對象；四階段生命週期；「結案時必須附上履行證據並告知受影響者」；逾期與未結案的即時檢視。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tractivity.co.uk/blog/stakeholder-commitment-tracking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humentum.org/free-resources/guide/commitments-register-example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容量模型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有效容量＝合約工時減去非交付時間（40h 實際約 30h）；承諾工作／機率加權管線／非計費時間三分類；75–85% 計費利用率健康帶；週／月／季三層檢視節奏。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teamwork.com/blog/capacity-model/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productive.io/blog/capacity-planning-guide/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台灣會計憑證鏈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原始憑證 → 記帳憑證（傳票）→ 分錄 → 帳簿；原始憑證必須附隨於傳票，否則該分錄缺乏入帳依據；傳票須記載製表人與審核主管。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lovemore-account.tw/18-entry/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law-out.mof.gov.tw/LawContent.aspx?id=FL041411</w:t>
            </w:r>
          </w:p>
        </w:tc>
      </w:tr>
      <w:tr>
        <w:trPr>
          <w:cantSplit/>
        </w:trPr>
        <w:tc>
          <w:tcPr>
            <w:tcW w:type="dxa" w:w="1498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/>
                <w:bCs/>
                <w:color w:val="222222"/>
                <w:sz w:val="19"/>
                <w:szCs w:val="19"/>
              </w:rPr>
              <w:t xml:space="preserve">專案結案文件包</w:t>
            </w:r>
          </w:p>
        </w:tc>
        <w:tc>
          <w:tcPr>
            <w:tcW w:type="dxa" w:w="4867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結案報告、驗收證明、最終交付清單、經驗學習紀錄構成可審核的結案包。</w:t>
            </w:r>
          </w:p>
        </w:tc>
        <w:tc>
          <w:tcPr>
            <w:tcW w:type="dxa" w:w="299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monday.com/blog/project-management/project-closeout/</w:t>
            </w:r>
          </w:p>
          <w:p>
            <w:pPr>
              <w:spacing w:after="0" w:line="270"/>
            </w:pPr>
            <w:r>
              <w:rPr>
                <w:rFonts w:ascii="PingFang TC" w:cs="PingFang TC" w:eastAsia="PingFang TC" w:hAnsi="PingFang TC"/>
                <w:b w:val="false"/>
                <w:bCs w:val="false"/>
                <w:color w:val="222222"/>
                <w:sz w:val="19"/>
                <w:szCs w:val="19"/>
              </w:rPr>
              <w:t xml:space="preserve">productive.io/blog/project-closure/</w:t>
            </w:r>
          </w:p>
        </w:tc>
      </w:tr>
    </w:tbl>
    <w:p>
      <w:pPr>
        <w:spacing w:after="160"/>
      </w:pPr>
      <w:r>
        <w:rPr>
          <w:rFonts w:ascii="PingFang TC" w:cs="PingFang TC" w:eastAsia="PingFang TC" w:hAnsi="PingFang TC"/>
          <w:sz w:val="8"/>
          <w:szCs w:val="8"/>
        </w:rPr>
        <w:t xml:space="preserve"/>
      </w:r>
    </w:p>
    <w:p>
      <w:pPr>
        <w:pStyle w:val="Heading2"/>
        <w:spacing w:after="120" w:before="300"/>
      </w:pPr>
      <w:r>
        <w:rPr>
          <w:rFonts w:ascii="PingFang TC" w:cs="PingFang TC" w:eastAsia="PingFang TC" w:hAnsi="PingFang TC"/>
          <w:b/>
          <w:bCs/>
          <w:color w:val="1a1a1a"/>
          <w:sz w:val="25"/>
          <w:szCs w:val="25"/>
        </w:rPr>
        <w:t xml:space="preserve">07　一句話</w:t>
      </w:r>
    </w:p>
    <w:p>
      <w:pPr>
        <w:spacing w:after="120" w:before="0" w:line="300"/>
      </w:pPr>
      <w:r>
        <w:rPr>
          <w:rFonts w:ascii="PingFang TC" w:cs="PingFang TC" w:eastAsia="PingFang TC" w:hAnsi="PingFang TC"/>
          <w:color w:val="222222"/>
          <w:sz w:val="22"/>
          <w:szCs w:val="22"/>
        </w:rPr>
        <w:t xml:space="preserve">v1 給了你一張清單，v2 給你一條規則：</w:t>
      </w:r>
      <w:r>
        <w:rPr>
          <w:rFonts w:ascii="PingFang TC" w:cs="PingFang TC" w:eastAsia="PingFang TC" w:hAnsi="PingFang TC"/>
          <w:b/>
          <w:bCs/>
          <w:color w:val="222222"/>
          <w:sz w:val="22"/>
          <w:szCs w:val="22"/>
        </w:rPr>
        <w:t xml:space="preserve">一個大概念 → 分頁 → 一個主操作面 + 抽屜</w:t>
      </w:r>
      <w:r>
        <w:rPr>
          <w:rFonts w:ascii="PingFang TC" w:cs="PingFang TC" w:eastAsia="PingFang TC" w:hAnsi="PingFang TC"/>
          <w:color w:val="222222"/>
          <w:sz w:val="22"/>
          <w:szCs w:val="22"/>
        </w:rPr>
        <w:t xml:space="preserve">，七個情境各佔一個大概念，全系統共用一組被賦型的 block。你在日誌裡寫字，系統在建物件；你在專案裡收尾，系統在封存證據；你在帳本裡打一列，系統在算獎金。介面不是模組的入口，是情境的形狀。</w:t>
      </w:r>
    </w:p>
    <w:sectPr>
      <w:pgSz w:w="11906" w:h="16838" w:orient="portrait"/>
      <w:pgMar w:top="1250" w:right="1150" w:bottom="1250" w:left="11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TC" w:cs="PingFang TC" w:eastAsia="PingFang TC" w:hAnsi="PingFang TC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2444dd7291d0d3e1e9e11b00337f741d6bb165.png"/><Relationship Id="rId8" Type="http://schemas.openxmlformats.org/officeDocument/2006/relationships/image" Target="media/b7879e99d9900051cc82f3ad6310b2e5f717a20d.png"/><Relationship Id="rId9" Type="http://schemas.openxmlformats.org/officeDocument/2006/relationships/image" Target="media/c80e472822c67d3cb59ab343ae6b20e94a17dc8a.png"/><Relationship Id="rId10" Type="http://schemas.openxmlformats.org/officeDocument/2006/relationships/image" Target="media/0a11743240d2f350792c1cc8211f8227ee30c68c.png"/><Relationship Id="rId11" Type="http://schemas.openxmlformats.org/officeDocument/2006/relationships/image" Target="media/0e706e0d900f8cb0a74a22dce876f0be6931d298.png"/><Relationship Id="rId12" Type="http://schemas.openxmlformats.org/officeDocument/2006/relationships/image" Target="media/2edbfedfaba83469e50d4e585827df39abf0e5b0.png"/><Relationship Id="rId13" Type="http://schemas.openxmlformats.org/officeDocument/2006/relationships/image" Target="media/0e460f60654b5440fbccb5cf13bc79f9c773639d.png"/><Relationship Id="rId14" Type="http://schemas.openxmlformats.org/officeDocument/2006/relationships/image" Target="media/0586a4c91ff2394b953a79f7936fec4b643d8755.png"/><Relationship Id="rId15" Type="http://schemas.openxmlformats.org/officeDocument/2006/relationships/image" Target="media/a58cf08be50f21e09319aa757e39cf316ba2d7fc.png"/><Relationship Id="rId16" Type="http://schemas.openxmlformats.org/officeDocument/2006/relationships/image" Target="media/6f6ab48d1e414ef6bcabb310dc914e49b48a833f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Operating Interface 提案 v2</dc:title>
  <dc:creator>圓展教育科技</dc:creator>
  <dc:description>從卡片盤點改成情境系統：七個情境工作台與統一導航契約</dc:description>
  <cp:lastModifiedBy>Un-named</cp:lastModifiedBy>
  <cp:revision>1</cp:revision>
  <dcterms:created xsi:type="dcterms:W3CDTF">2026-09-12T13:15:34.218Z</dcterms:created>
  <dcterms:modified xsi:type="dcterms:W3CDTF">2026-09-12T13:15:34.218Z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