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66727" w14:textId="19DEDE1E" w:rsidR="008D4B37" w:rsidRPr="00A31B1E" w:rsidRDefault="008D4B37" w:rsidP="00CB4CAC">
      <w:pPr>
        <w:spacing w:line="360" w:lineRule="auto"/>
        <w:rPr>
          <w:rFonts w:ascii="Gill Sans MT" w:hAnsi="Gill Sans MT"/>
          <w:b/>
          <w:bCs/>
          <w:sz w:val="22"/>
          <w:szCs w:val="22"/>
        </w:rPr>
      </w:pPr>
      <w:r w:rsidRPr="00A31B1E">
        <w:rPr>
          <w:rFonts w:ascii="Gill Sans MT" w:hAnsi="Gill Sans MT"/>
          <w:b/>
          <w:bCs/>
          <w:sz w:val="22"/>
          <w:szCs w:val="22"/>
        </w:rPr>
        <w:t>Name</w:t>
      </w:r>
      <w:r w:rsidR="00002AA4" w:rsidRPr="00A31B1E">
        <w:rPr>
          <w:rFonts w:ascii="Gill Sans MT" w:hAnsi="Gill Sans MT"/>
          <w:b/>
          <w:bCs/>
          <w:sz w:val="22"/>
          <w:szCs w:val="22"/>
        </w:rPr>
        <w:t>, First name</w:t>
      </w:r>
      <w:r w:rsidRPr="00A31B1E">
        <w:rPr>
          <w:rFonts w:ascii="Gill Sans MT" w:hAnsi="Gill Sans MT"/>
          <w:b/>
          <w:bCs/>
          <w:sz w:val="22"/>
          <w:szCs w:val="22"/>
        </w:rPr>
        <w:t>:</w:t>
      </w:r>
      <w:r w:rsidR="00FE5E58">
        <w:rPr>
          <w:rFonts w:ascii="Gill Sans MT" w:hAnsi="Gill Sans MT"/>
          <w:b/>
          <w:bCs/>
          <w:sz w:val="22"/>
          <w:szCs w:val="22"/>
        </w:rPr>
        <w:t xml:space="preserve"> Trotman, Oliver</w:t>
      </w:r>
      <w:r w:rsidR="00CB4CAC">
        <w:rPr>
          <w:rFonts w:ascii="Gill Sans MT" w:hAnsi="Gill Sans MT"/>
          <w:b/>
          <w:bCs/>
          <w:sz w:val="22"/>
          <w:szCs w:val="22"/>
        </w:rPr>
        <w:tab/>
      </w:r>
    </w:p>
    <w:p w14:paraId="1D4AB55E" w14:textId="7052502E" w:rsidR="008D4B37" w:rsidRPr="00A31B1E" w:rsidRDefault="008D4B37" w:rsidP="00CB4CAC">
      <w:pPr>
        <w:spacing w:line="360" w:lineRule="auto"/>
        <w:rPr>
          <w:rFonts w:ascii="Gill Sans MT" w:hAnsi="Gill Sans MT"/>
          <w:b/>
          <w:bCs/>
          <w:sz w:val="22"/>
          <w:szCs w:val="22"/>
        </w:rPr>
      </w:pPr>
      <w:r w:rsidRPr="00A31B1E">
        <w:rPr>
          <w:rFonts w:ascii="Gill Sans MT" w:hAnsi="Gill Sans MT"/>
          <w:b/>
          <w:bCs/>
          <w:sz w:val="22"/>
          <w:szCs w:val="22"/>
        </w:rPr>
        <w:t>Student ID:</w:t>
      </w:r>
      <w:r w:rsidR="00FE5E58">
        <w:rPr>
          <w:rFonts w:ascii="Gill Sans MT" w:hAnsi="Gill Sans MT"/>
          <w:b/>
          <w:bCs/>
          <w:sz w:val="22"/>
          <w:szCs w:val="22"/>
        </w:rPr>
        <w:t xml:space="preserve"> 20421743</w:t>
      </w:r>
      <w:r w:rsidR="00002AA4" w:rsidRPr="00A31B1E">
        <w:rPr>
          <w:rFonts w:ascii="Gill Sans MT" w:hAnsi="Gill Sans MT"/>
          <w:b/>
          <w:bCs/>
          <w:sz w:val="22"/>
          <w:szCs w:val="22"/>
        </w:rPr>
        <w:tab/>
      </w:r>
    </w:p>
    <w:p w14:paraId="2E78D651" w14:textId="26870D2D" w:rsidR="00122FAB" w:rsidRDefault="00122FAB" w:rsidP="00CB4CAC">
      <w:pPr>
        <w:spacing w:line="360" w:lineRule="auto"/>
        <w:rPr>
          <w:rFonts w:ascii="Gill Sans MT" w:hAnsi="Gill Sans MT"/>
          <w:b/>
          <w:bCs/>
          <w:sz w:val="22"/>
          <w:szCs w:val="22"/>
        </w:rPr>
      </w:pPr>
      <w:r w:rsidRPr="00A31B1E">
        <w:rPr>
          <w:rFonts w:ascii="Gill Sans MT" w:hAnsi="Gill Sans MT"/>
          <w:b/>
          <w:bCs/>
          <w:sz w:val="22"/>
          <w:szCs w:val="22"/>
        </w:rPr>
        <w:t>Supervisor:</w:t>
      </w:r>
      <w:r w:rsidR="002B139C">
        <w:rPr>
          <w:rFonts w:ascii="Gill Sans MT" w:hAnsi="Gill Sans MT"/>
          <w:b/>
          <w:bCs/>
          <w:sz w:val="22"/>
          <w:szCs w:val="22"/>
        </w:rPr>
        <w:t xml:space="preserve"> </w:t>
      </w:r>
      <w:proofErr w:type="spellStart"/>
      <w:r w:rsidR="008A4C33">
        <w:rPr>
          <w:rFonts w:ascii="Gill Sans MT" w:hAnsi="Gill Sans MT"/>
          <w:b/>
          <w:bCs/>
          <w:sz w:val="22"/>
          <w:szCs w:val="22"/>
        </w:rPr>
        <w:t>Luyang</w:t>
      </w:r>
      <w:proofErr w:type="spellEnd"/>
      <w:r w:rsidR="002B139C">
        <w:rPr>
          <w:rFonts w:ascii="Gill Sans MT" w:hAnsi="Gill Sans MT"/>
          <w:b/>
          <w:bCs/>
          <w:sz w:val="22"/>
          <w:szCs w:val="22"/>
        </w:rPr>
        <w:t xml:space="preserve"> Chen</w:t>
      </w:r>
    </w:p>
    <w:p w14:paraId="1730EC1C" w14:textId="6625E727" w:rsidR="00982C5F" w:rsidRPr="00A31B1E" w:rsidRDefault="00982C5F" w:rsidP="00CB4CAC">
      <w:pPr>
        <w:spacing w:line="360" w:lineRule="auto"/>
        <w:rPr>
          <w:rFonts w:ascii="Gill Sans MT" w:hAnsi="Gill Sans MT"/>
          <w:b/>
          <w:bCs/>
          <w:sz w:val="22"/>
          <w:szCs w:val="22"/>
        </w:rPr>
      </w:pPr>
      <w:r w:rsidRPr="00982C5F">
        <w:rPr>
          <w:rFonts w:ascii="Gill Sans MT" w:hAnsi="Gill Sans MT"/>
          <w:sz w:val="22"/>
          <w:szCs w:val="22"/>
        </w:rPr>
        <w:t xml:space="preserve">I do </w:t>
      </w:r>
      <w:r w:rsidRPr="00982C5F">
        <w:rPr>
          <w:rFonts w:ascii="Gill Sans MT" w:hAnsi="Gill Sans MT"/>
          <w:sz w:val="22"/>
          <w:szCs w:val="22"/>
          <w:u w:val="single"/>
        </w:rPr>
        <w:t>not</w:t>
      </w:r>
      <w:r w:rsidRPr="00982C5F">
        <w:rPr>
          <w:rFonts w:ascii="Gill Sans MT" w:hAnsi="Gill Sans MT"/>
          <w:sz w:val="22"/>
          <w:szCs w:val="22"/>
        </w:rPr>
        <w:t xml:space="preserve"> want my anonymised proposal form to be used for teaching purposes</w:t>
      </w:r>
      <w:r>
        <w:rPr>
          <w:rFonts w:ascii="Gill Sans MT" w:hAnsi="Gill Sans MT"/>
          <w:sz w:val="22"/>
          <w:szCs w:val="22"/>
        </w:rPr>
        <w:t xml:space="preserve"> in the future</w:t>
      </w:r>
      <w:r>
        <w:rPr>
          <w:rFonts w:ascii="Gill Sans MT" w:hAnsi="Gill Sans MT"/>
          <w:sz w:val="22"/>
          <w:szCs w:val="22"/>
        </w:rPr>
        <w:tab/>
      </w:r>
      <w:r w:rsidRPr="00982C5F">
        <w:rPr>
          <w:rFonts w:ascii="Times New Roman" w:hAnsi="Times New Roman"/>
          <w:sz w:val="22"/>
          <w:szCs w:val="22"/>
        </w:rPr>
        <w:t xml:space="preserve"> </w:t>
      </w:r>
      <w:sdt>
        <w:sdtPr>
          <w:rPr>
            <w:rFonts w:ascii="Times New Roman" w:hAnsi="Times New Roman"/>
            <w:sz w:val="22"/>
            <w:szCs w:val="22"/>
          </w:rPr>
          <w:id w:val="-564562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06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</w:p>
    <w:p w14:paraId="1C8AA6B0" w14:textId="77777777" w:rsidR="00C153AA" w:rsidRPr="00C153AA" w:rsidRDefault="00C153AA" w:rsidP="00C153AA">
      <w:pPr>
        <w:rPr>
          <w:rFonts w:ascii="Gill Sans MT" w:hAnsi="Gill Sans MT"/>
          <w:sz w:val="22"/>
          <w:szCs w:val="22"/>
        </w:rPr>
      </w:pPr>
    </w:p>
    <w:p w14:paraId="030EF746" w14:textId="14A294DB" w:rsidR="008D4B37" w:rsidRPr="00002AA4" w:rsidRDefault="008D4B37" w:rsidP="008D4B37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Dissertation topic/Title</w:t>
      </w:r>
    </w:p>
    <w:p w14:paraId="5D44D32B" w14:textId="77777777" w:rsidR="000C4F25" w:rsidRDefault="000C4F25" w:rsidP="00566D0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b/>
          <w:bCs/>
          <w:sz w:val="22"/>
          <w:szCs w:val="22"/>
        </w:rPr>
      </w:pPr>
    </w:p>
    <w:p w14:paraId="158AD261" w14:textId="79EEE866" w:rsidR="00566D0D" w:rsidRPr="00566D0D" w:rsidRDefault="00566D0D" w:rsidP="00566D0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b/>
          <w:bCs/>
          <w:sz w:val="22"/>
          <w:szCs w:val="22"/>
        </w:rPr>
      </w:pPr>
      <w:r w:rsidRPr="00566D0D">
        <w:rPr>
          <w:rFonts w:ascii="Gill Sans MT" w:hAnsi="Gill Sans MT"/>
          <w:b/>
          <w:bCs/>
          <w:sz w:val="22"/>
          <w:szCs w:val="22"/>
        </w:rPr>
        <w:t>The Effects of the Brexit Referendum and the Trade and Cooperation Agreement on UK</w:t>
      </w:r>
      <w:r w:rsidR="00BA1883">
        <w:rPr>
          <w:rFonts w:ascii="Gill Sans MT" w:hAnsi="Gill Sans MT"/>
          <w:b/>
          <w:bCs/>
          <w:sz w:val="22"/>
          <w:szCs w:val="22"/>
        </w:rPr>
        <w:t xml:space="preserve"> Services</w:t>
      </w:r>
      <w:r w:rsidRPr="00566D0D">
        <w:rPr>
          <w:rFonts w:ascii="Gill Sans MT" w:hAnsi="Gill Sans MT"/>
          <w:b/>
          <w:bCs/>
          <w:sz w:val="22"/>
          <w:szCs w:val="22"/>
        </w:rPr>
        <w:t xml:space="preserve"> Trade</w:t>
      </w:r>
      <w:r w:rsidR="008D2869">
        <w:rPr>
          <w:rFonts w:ascii="Gill Sans MT" w:hAnsi="Gill Sans MT"/>
          <w:b/>
          <w:bCs/>
          <w:sz w:val="22"/>
          <w:szCs w:val="22"/>
        </w:rPr>
        <w:t>.</w:t>
      </w:r>
      <w:r w:rsidR="00E54A92">
        <w:rPr>
          <w:rFonts w:ascii="Gill Sans MT" w:hAnsi="Gill Sans MT"/>
          <w:b/>
          <w:bCs/>
          <w:sz w:val="22"/>
          <w:szCs w:val="22"/>
        </w:rPr>
        <w:t xml:space="preserve"> </w:t>
      </w:r>
    </w:p>
    <w:p w14:paraId="499FC1AC" w14:textId="77777777" w:rsidR="000C4F25" w:rsidRPr="002B139C" w:rsidRDefault="000C4F25" w:rsidP="008D4B3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4587875B" w14:textId="7B608546" w:rsidR="00381AAB" w:rsidRDefault="00381AAB" w:rsidP="008D4B37">
      <w:pPr>
        <w:rPr>
          <w:rFonts w:ascii="Gill Sans MT" w:hAnsi="Gill Sans MT"/>
          <w:sz w:val="22"/>
          <w:szCs w:val="22"/>
        </w:rPr>
      </w:pPr>
    </w:p>
    <w:p w14:paraId="1C20DA27" w14:textId="1C76175F" w:rsidR="008D4B37" w:rsidRPr="00002AA4" w:rsidRDefault="008D4B37" w:rsidP="008D4B37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Introduction/Motivation</w:t>
      </w:r>
    </w:p>
    <w:p w14:paraId="78600F5E" w14:textId="77777777" w:rsidR="00E04123" w:rsidRDefault="00E04123" w:rsidP="00A97C5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3B91DE6B" w14:textId="1CB137B3" w:rsidR="00874E94" w:rsidRDefault="00A90890" w:rsidP="00A97C5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The </w:t>
      </w:r>
      <w:r w:rsidR="00B76C47">
        <w:rPr>
          <w:rFonts w:ascii="Gill Sans MT" w:hAnsi="Gill Sans MT"/>
          <w:sz w:val="22"/>
          <w:szCs w:val="22"/>
        </w:rPr>
        <w:t>E</w:t>
      </w:r>
      <w:r w:rsidR="00484131">
        <w:rPr>
          <w:rFonts w:ascii="Gill Sans MT" w:hAnsi="Gill Sans MT"/>
          <w:sz w:val="22"/>
          <w:szCs w:val="22"/>
        </w:rPr>
        <w:t>uropean Union (EU)</w:t>
      </w:r>
      <w:r>
        <w:rPr>
          <w:rFonts w:ascii="Gill Sans MT" w:hAnsi="Gill Sans MT"/>
          <w:sz w:val="22"/>
          <w:szCs w:val="22"/>
        </w:rPr>
        <w:t xml:space="preserve"> is the world’s biggest trading bloc</w:t>
      </w:r>
      <w:r w:rsidR="00664328">
        <w:rPr>
          <w:rFonts w:ascii="Gill Sans MT" w:hAnsi="Gill Sans MT"/>
          <w:sz w:val="22"/>
          <w:szCs w:val="22"/>
        </w:rPr>
        <w:t>.</w:t>
      </w:r>
      <w:r w:rsidR="006D69E4">
        <w:rPr>
          <w:rFonts w:ascii="Gill Sans MT" w:hAnsi="Gill Sans MT"/>
          <w:sz w:val="22"/>
          <w:szCs w:val="22"/>
        </w:rPr>
        <w:t xml:space="preserve"> </w:t>
      </w:r>
      <w:r w:rsidR="00926DAE">
        <w:rPr>
          <w:rFonts w:ascii="Gill Sans MT" w:hAnsi="Gill Sans MT"/>
          <w:sz w:val="22"/>
          <w:szCs w:val="22"/>
        </w:rPr>
        <w:t xml:space="preserve">Jacques Delors, </w:t>
      </w:r>
      <w:r w:rsidR="00311EFD">
        <w:rPr>
          <w:rFonts w:ascii="Gill Sans MT" w:hAnsi="Gill Sans MT"/>
          <w:sz w:val="22"/>
          <w:szCs w:val="22"/>
        </w:rPr>
        <w:t>a pioneer of its creation</w:t>
      </w:r>
      <w:r w:rsidR="006B0FCE">
        <w:rPr>
          <w:rFonts w:ascii="Gill Sans MT" w:hAnsi="Gill Sans MT"/>
          <w:sz w:val="22"/>
          <w:szCs w:val="22"/>
        </w:rPr>
        <w:t>,</w:t>
      </w:r>
      <w:r w:rsidR="00311EFD">
        <w:rPr>
          <w:rFonts w:ascii="Gill Sans MT" w:hAnsi="Gill Sans MT"/>
          <w:sz w:val="22"/>
          <w:szCs w:val="22"/>
        </w:rPr>
        <w:t xml:space="preserve"> describes</w:t>
      </w:r>
      <w:r w:rsidR="006B0FCE">
        <w:rPr>
          <w:rFonts w:ascii="Gill Sans MT" w:hAnsi="Gill Sans MT"/>
          <w:sz w:val="22"/>
          <w:szCs w:val="22"/>
        </w:rPr>
        <w:t xml:space="preserve"> the vision of</w:t>
      </w:r>
      <w:r w:rsidR="00926DAE" w:rsidRPr="00926DAE">
        <w:rPr>
          <w:rFonts w:ascii="Gill Sans MT" w:hAnsi="Gill Sans MT"/>
          <w:b/>
          <w:bCs/>
          <w:sz w:val="22"/>
          <w:szCs w:val="22"/>
        </w:rPr>
        <w:t> </w:t>
      </w:r>
      <w:r w:rsidR="00926DAE" w:rsidRPr="00926DAE">
        <w:rPr>
          <w:rFonts w:ascii="Gill Sans MT" w:hAnsi="Gill Sans MT"/>
          <w:sz w:val="22"/>
          <w:szCs w:val="22"/>
        </w:rPr>
        <w:t>“</w:t>
      </w:r>
      <w:r w:rsidR="00311EFD">
        <w:rPr>
          <w:rFonts w:ascii="Gill Sans MT" w:hAnsi="Gill Sans MT"/>
          <w:sz w:val="22"/>
          <w:szCs w:val="22"/>
        </w:rPr>
        <w:t>a</w:t>
      </w:r>
      <w:r w:rsidR="00926DAE" w:rsidRPr="00926DAE">
        <w:rPr>
          <w:rFonts w:ascii="Gill Sans MT" w:hAnsi="Gill Sans MT"/>
          <w:sz w:val="22"/>
          <w:szCs w:val="22"/>
        </w:rPr>
        <w:t xml:space="preserve"> Europe built on competition that stimulates, cooperation that strengthens, and solidarity that unites.”</w:t>
      </w:r>
      <w:r w:rsidR="00311EFD">
        <w:rPr>
          <w:rFonts w:ascii="Gill Sans MT" w:hAnsi="Gill Sans MT"/>
          <w:sz w:val="22"/>
          <w:szCs w:val="22"/>
        </w:rPr>
        <w:t xml:space="preserve"> </w:t>
      </w:r>
      <w:r w:rsidR="006B19CB">
        <w:rPr>
          <w:rFonts w:ascii="Gill Sans MT" w:hAnsi="Gill Sans MT"/>
          <w:sz w:val="22"/>
          <w:szCs w:val="22"/>
        </w:rPr>
        <w:t xml:space="preserve">EU membership </w:t>
      </w:r>
      <w:r w:rsidR="00AC40FE">
        <w:rPr>
          <w:rFonts w:ascii="Gill Sans MT" w:hAnsi="Gill Sans MT"/>
          <w:sz w:val="22"/>
          <w:szCs w:val="22"/>
        </w:rPr>
        <w:t xml:space="preserve">permits members to </w:t>
      </w:r>
      <w:r w:rsidR="009E4D3D">
        <w:rPr>
          <w:rFonts w:ascii="Gill Sans MT" w:hAnsi="Gill Sans MT"/>
          <w:sz w:val="22"/>
          <w:szCs w:val="22"/>
        </w:rPr>
        <w:t>4 freedoms</w:t>
      </w:r>
      <w:r w:rsidR="00D844B5">
        <w:rPr>
          <w:rFonts w:ascii="Gill Sans MT" w:hAnsi="Gill Sans MT"/>
          <w:sz w:val="22"/>
          <w:szCs w:val="22"/>
        </w:rPr>
        <w:t xml:space="preserve"> (4Fs)</w:t>
      </w:r>
      <w:r w:rsidR="009E4D3D">
        <w:rPr>
          <w:rFonts w:ascii="Gill Sans MT" w:hAnsi="Gill Sans MT"/>
          <w:sz w:val="22"/>
          <w:szCs w:val="22"/>
        </w:rPr>
        <w:t xml:space="preserve">: </w:t>
      </w:r>
      <w:r w:rsidR="00E351D2">
        <w:rPr>
          <w:rFonts w:ascii="Gill Sans MT" w:hAnsi="Gill Sans MT"/>
          <w:sz w:val="22"/>
          <w:szCs w:val="22"/>
        </w:rPr>
        <w:t>free movement of people, goods, services and capital</w:t>
      </w:r>
      <w:r w:rsidR="00AC40FE">
        <w:rPr>
          <w:rFonts w:ascii="Gill Sans MT" w:hAnsi="Gill Sans MT"/>
          <w:sz w:val="22"/>
          <w:szCs w:val="22"/>
        </w:rPr>
        <w:t xml:space="preserve">, </w:t>
      </w:r>
      <w:r w:rsidR="00DA6179">
        <w:rPr>
          <w:rFonts w:ascii="Gill Sans MT" w:hAnsi="Gill Sans MT"/>
          <w:sz w:val="22"/>
          <w:szCs w:val="22"/>
        </w:rPr>
        <w:t>a</w:t>
      </w:r>
      <w:r w:rsidR="000D3E98">
        <w:rPr>
          <w:rFonts w:ascii="Gill Sans MT" w:hAnsi="Gill Sans MT"/>
          <w:sz w:val="22"/>
          <w:szCs w:val="22"/>
        </w:rPr>
        <w:t>s well as</w:t>
      </w:r>
      <w:r w:rsidR="00AC40FE">
        <w:rPr>
          <w:rFonts w:ascii="Gill Sans MT" w:hAnsi="Gill Sans MT"/>
          <w:sz w:val="22"/>
          <w:szCs w:val="22"/>
        </w:rPr>
        <w:t xml:space="preserve"> </w:t>
      </w:r>
      <w:r w:rsidR="00A65D2E">
        <w:rPr>
          <w:rFonts w:ascii="Gill Sans MT" w:hAnsi="Gill Sans MT"/>
          <w:sz w:val="22"/>
          <w:szCs w:val="22"/>
        </w:rPr>
        <w:t>shared peace</w:t>
      </w:r>
      <w:r w:rsidR="00DA6179">
        <w:rPr>
          <w:rFonts w:ascii="Gill Sans MT" w:hAnsi="Gill Sans MT"/>
          <w:sz w:val="22"/>
          <w:szCs w:val="22"/>
        </w:rPr>
        <w:t xml:space="preserve">, </w:t>
      </w:r>
      <w:r w:rsidR="00A65D2E">
        <w:rPr>
          <w:rFonts w:ascii="Gill Sans MT" w:hAnsi="Gill Sans MT"/>
          <w:sz w:val="22"/>
          <w:szCs w:val="22"/>
        </w:rPr>
        <w:t>security</w:t>
      </w:r>
      <w:r w:rsidR="005F193D">
        <w:rPr>
          <w:rFonts w:ascii="Gill Sans MT" w:hAnsi="Gill Sans MT"/>
          <w:sz w:val="22"/>
          <w:szCs w:val="22"/>
        </w:rPr>
        <w:t xml:space="preserve"> and political support</w:t>
      </w:r>
      <w:r w:rsidR="00A65D2E">
        <w:rPr>
          <w:rFonts w:ascii="Gill Sans MT" w:hAnsi="Gill Sans MT"/>
          <w:sz w:val="22"/>
          <w:szCs w:val="22"/>
        </w:rPr>
        <w:t xml:space="preserve">. </w:t>
      </w:r>
      <w:r w:rsidR="008D2869">
        <w:rPr>
          <w:rFonts w:ascii="Gill Sans MT" w:hAnsi="Gill Sans MT"/>
          <w:sz w:val="22"/>
          <w:szCs w:val="22"/>
        </w:rPr>
        <w:t xml:space="preserve">In June 2016, </w:t>
      </w:r>
      <w:r w:rsidR="00950C19">
        <w:rPr>
          <w:rFonts w:ascii="Gill Sans MT" w:hAnsi="Gill Sans MT"/>
          <w:sz w:val="22"/>
          <w:szCs w:val="22"/>
        </w:rPr>
        <w:t>the</w:t>
      </w:r>
      <w:r w:rsidR="00F6223D">
        <w:rPr>
          <w:rFonts w:ascii="Gill Sans MT" w:hAnsi="Gill Sans MT"/>
          <w:sz w:val="22"/>
          <w:szCs w:val="22"/>
        </w:rPr>
        <w:t xml:space="preserve"> Brexit referendum </w:t>
      </w:r>
      <w:r w:rsidR="00E96CB7">
        <w:rPr>
          <w:rFonts w:ascii="Gill Sans MT" w:hAnsi="Gill Sans MT"/>
          <w:sz w:val="22"/>
          <w:szCs w:val="22"/>
        </w:rPr>
        <w:t>resulted in a</w:t>
      </w:r>
      <w:r w:rsidR="007854ED">
        <w:rPr>
          <w:rFonts w:ascii="Gill Sans MT" w:hAnsi="Gill Sans MT"/>
          <w:sz w:val="22"/>
          <w:szCs w:val="22"/>
        </w:rPr>
        <w:t xml:space="preserve"> narrow</w:t>
      </w:r>
      <w:r w:rsidR="00E96CB7">
        <w:rPr>
          <w:rFonts w:ascii="Gill Sans MT" w:hAnsi="Gill Sans MT"/>
          <w:sz w:val="22"/>
          <w:szCs w:val="22"/>
        </w:rPr>
        <w:t xml:space="preserve"> majority favouring</w:t>
      </w:r>
      <w:r w:rsidR="00DC6DBF">
        <w:rPr>
          <w:rFonts w:ascii="Gill Sans MT" w:hAnsi="Gill Sans MT"/>
          <w:sz w:val="22"/>
          <w:szCs w:val="22"/>
        </w:rPr>
        <w:t xml:space="preserve"> Britain’s exit from the EU.</w:t>
      </w:r>
      <w:r w:rsidR="00853895">
        <w:rPr>
          <w:rFonts w:ascii="Gill Sans MT" w:hAnsi="Gill Sans MT"/>
          <w:sz w:val="22"/>
          <w:szCs w:val="22"/>
        </w:rPr>
        <w:t xml:space="preserve"> </w:t>
      </w:r>
      <w:r w:rsidR="00D4065D">
        <w:rPr>
          <w:rFonts w:ascii="Gill Sans MT" w:hAnsi="Gill Sans MT"/>
          <w:sz w:val="22"/>
          <w:szCs w:val="22"/>
        </w:rPr>
        <w:t>~</w:t>
      </w:r>
      <w:r w:rsidR="00853895">
        <w:rPr>
          <w:rFonts w:ascii="Gill Sans MT" w:hAnsi="Gill Sans MT"/>
          <w:sz w:val="22"/>
          <w:szCs w:val="22"/>
        </w:rPr>
        <w:t xml:space="preserve">52% </w:t>
      </w:r>
      <w:r w:rsidR="00C21E1B">
        <w:rPr>
          <w:rFonts w:ascii="Gill Sans MT" w:hAnsi="Gill Sans MT"/>
          <w:sz w:val="22"/>
          <w:szCs w:val="22"/>
        </w:rPr>
        <w:t xml:space="preserve">of </w:t>
      </w:r>
      <w:r w:rsidR="00DE20CE">
        <w:rPr>
          <w:rFonts w:ascii="Gill Sans MT" w:hAnsi="Gill Sans MT"/>
          <w:sz w:val="22"/>
          <w:szCs w:val="22"/>
        </w:rPr>
        <w:t>United Kingdom (</w:t>
      </w:r>
      <w:r w:rsidR="00C21E1B">
        <w:rPr>
          <w:rFonts w:ascii="Gill Sans MT" w:hAnsi="Gill Sans MT"/>
          <w:sz w:val="22"/>
          <w:szCs w:val="22"/>
        </w:rPr>
        <w:t>UK</w:t>
      </w:r>
      <w:r w:rsidR="00DE20CE">
        <w:rPr>
          <w:rFonts w:ascii="Gill Sans MT" w:hAnsi="Gill Sans MT"/>
          <w:sz w:val="22"/>
          <w:szCs w:val="22"/>
        </w:rPr>
        <w:t>)</w:t>
      </w:r>
      <w:r w:rsidR="00C21E1B">
        <w:rPr>
          <w:rFonts w:ascii="Gill Sans MT" w:hAnsi="Gill Sans MT"/>
          <w:sz w:val="22"/>
          <w:szCs w:val="22"/>
        </w:rPr>
        <w:t xml:space="preserve"> voters </w:t>
      </w:r>
      <w:r w:rsidR="00DC6DBF">
        <w:rPr>
          <w:rFonts w:ascii="Gill Sans MT" w:hAnsi="Gill Sans MT"/>
          <w:sz w:val="22"/>
          <w:szCs w:val="22"/>
        </w:rPr>
        <w:t>favoured Brexit</w:t>
      </w:r>
      <w:r w:rsidR="00853895">
        <w:rPr>
          <w:rFonts w:ascii="Gill Sans MT" w:hAnsi="Gill Sans MT"/>
          <w:sz w:val="22"/>
          <w:szCs w:val="22"/>
        </w:rPr>
        <w:t>.</w:t>
      </w:r>
    </w:p>
    <w:p w14:paraId="2B5DF0FD" w14:textId="5B1B2A2F" w:rsidR="004809F9" w:rsidRDefault="00255581" w:rsidP="00A97C5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This paper </w:t>
      </w:r>
      <w:r w:rsidR="003116DE">
        <w:rPr>
          <w:rFonts w:ascii="Gill Sans MT" w:hAnsi="Gill Sans MT"/>
          <w:sz w:val="22"/>
          <w:szCs w:val="22"/>
        </w:rPr>
        <w:t>intend</w:t>
      </w:r>
      <w:r>
        <w:rPr>
          <w:rFonts w:ascii="Gill Sans MT" w:hAnsi="Gill Sans MT"/>
          <w:sz w:val="22"/>
          <w:szCs w:val="22"/>
        </w:rPr>
        <w:t>s</w:t>
      </w:r>
      <w:r w:rsidR="003116DE">
        <w:rPr>
          <w:rFonts w:ascii="Gill Sans MT" w:hAnsi="Gill Sans MT"/>
          <w:sz w:val="22"/>
          <w:szCs w:val="22"/>
        </w:rPr>
        <w:t xml:space="preserve"> to </w:t>
      </w:r>
      <w:r w:rsidR="004809F9">
        <w:rPr>
          <w:rFonts w:ascii="Gill Sans MT" w:hAnsi="Gill Sans MT"/>
          <w:sz w:val="22"/>
          <w:szCs w:val="22"/>
        </w:rPr>
        <w:t xml:space="preserve">answer: </w:t>
      </w:r>
    </w:p>
    <w:p w14:paraId="427B08C3" w14:textId="4FA8D329" w:rsidR="00AE74F4" w:rsidRPr="00AE74F4" w:rsidRDefault="00AE74F4" w:rsidP="00AE74F4">
      <w:pPr>
        <w:pStyle w:val="ListParagraph"/>
        <w:numPr>
          <w:ilvl w:val="0"/>
          <w:numId w:val="12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How </w:t>
      </w:r>
      <w:r w:rsidR="000278A5">
        <w:rPr>
          <w:rFonts w:ascii="Gill Sans MT" w:hAnsi="Gill Sans MT"/>
          <w:sz w:val="22"/>
          <w:szCs w:val="22"/>
        </w:rPr>
        <w:t>has</w:t>
      </w:r>
      <w:r>
        <w:rPr>
          <w:rFonts w:ascii="Gill Sans MT" w:hAnsi="Gill Sans MT"/>
          <w:sz w:val="22"/>
          <w:szCs w:val="22"/>
        </w:rPr>
        <w:t xml:space="preserve"> Brexit affect</w:t>
      </w:r>
      <w:r w:rsidR="000278A5">
        <w:rPr>
          <w:rFonts w:ascii="Gill Sans MT" w:hAnsi="Gill Sans MT"/>
          <w:sz w:val="22"/>
          <w:szCs w:val="22"/>
        </w:rPr>
        <w:t>ed</w:t>
      </w:r>
      <w:r w:rsidR="00DE20CE">
        <w:rPr>
          <w:rFonts w:ascii="Gill Sans MT" w:hAnsi="Gill Sans MT"/>
          <w:sz w:val="22"/>
          <w:szCs w:val="22"/>
        </w:rPr>
        <w:t xml:space="preserve"> </w:t>
      </w:r>
      <w:r>
        <w:rPr>
          <w:rFonts w:ascii="Gill Sans MT" w:hAnsi="Gill Sans MT"/>
          <w:sz w:val="22"/>
          <w:szCs w:val="22"/>
        </w:rPr>
        <w:t>UK services trade?</w:t>
      </w:r>
    </w:p>
    <w:p w14:paraId="0D0D3E7C" w14:textId="6510DF53" w:rsidR="004809F9" w:rsidRPr="00613711" w:rsidRDefault="000F06D6" w:rsidP="00613711">
      <w:pPr>
        <w:pStyle w:val="ListParagraph"/>
        <w:numPr>
          <w:ilvl w:val="0"/>
          <w:numId w:val="12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W</w:t>
      </w:r>
      <w:r w:rsidR="00810836" w:rsidRPr="00613711">
        <w:rPr>
          <w:rFonts w:ascii="Gill Sans MT" w:hAnsi="Gill Sans MT"/>
          <w:sz w:val="22"/>
          <w:szCs w:val="22"/>
        </w:rPr>
        <w:t xml:space="preserve">ere </w:t>
      </w:r>
      <w:r w:rsidR="00D43656" w:rsidRPr="00613711">
        <w:rPr>
          <w:rFonts w:ascii="Gill Sans MT" w:hAnsi="Gill Sans MT"/>
          <w:sz w:val="22"/>
          <w:szCs w:val="22"/>
        </w:rPr>
        <w:t>the</w:t>
      </w:r>
      <w:r w:rsidR="004809F9" w:rsidRPr="00613711">
        <w:rPr>
          <w:rFonts w:ascii="Gill Sans MT" w:hAnsi="Gill Sans MT"/>
          <w:sz w:val="22"/>
          <w:szCs w:val="22"/>
        </w:rPr>
        <w:t xml:space="preserve"> </w:t>
      </w:r>
      <w:r w:rsidR="00D43656" w:rsidRPr="00613711">
        <w:rPr>
          <w:rFonts w:ascii="Gill Sans MT" w:hAnsi="Gill Sans MT"/>
          <w:sz w:val="22"/>
          <w:szCs w:val="22"/>
        </w:rPr>
        <w:t>UK</w:t>
      </w:r>
      <w:r>
        <w:rPr>
          <w:rFonts w:ascii="Gill Sans MT" w:hAnsi="Gill Sans MT"/>
          <w:sz w:val="22"/>
          <w:szCs w:val="22"/>
        </w:rPr>
        <w:t>’s</w:t>
      </w:r>
      <w:r w:rsidR="00D43656" w:rsidRPr="00613711">
        <w:rPr>
          <w:rFonts w:ascii="Gill Sans MT" w:hAnsi="Gill Sans MT"/>
          <w:sz w:val="22"/>
          <w:szCs w:val="22"/>
        </w:rPr>
        <w:t xml:space="preserve"> service</w:t>
      </w:r>
      <w:r w:rsidR="000F3D72">
        <w:rPr>
          <w:rFonts w:ascii="Gill Sans MT" w:hAnsi="Gill Sans MT"/>
          <w:sz w:val="22"/>
          <w:szCs w:val="22"/>
        </w:rPr>
        <w:t>s</w:t>
      </w:r>
      <w:r w:rsidR="00D43656" w:rsidRPr="00613711">
        <w:rPr>
          <w:rFonts w:ascii="Gill Sans MT" w:hAnsi="Gill Sans MT"/>
          <w:sz w:val="22"/>
          <w:szCs w:val="22"/>
        </w:rPr>
        <w:t xml:space="preserve"> trad</w:t>
      </w:r>
      <w:r w:rsidR="000F3D72">
        <w:rPr>
          <w:rFonts w:ascii="Gill Sans MT" w:hAnsi="Gill Sans MT"/>
          <w:sz w:val="22"/>
          <w:szCs w:val="22"/>
        </w:rPr>
        <w:t xml:space="preserve">e </w:t>
      </w:r>
      <w:r w:rsidR="00D43656" w:rsidRPr="00613711">
        <w:rPr>
          <w:rFonts w:ascii="Gill Sans MT" w:hAnsi="Gill Sans MT"/>
          <w:sz w:val="22"/>
          <w:szCs w:val="22"/>
        </w:rPr>
        <w:t>partners affected differently</w:t>
      </w:r>
      <w:r w:rsidR="00810836" w:rsidRPr="00613711">
        <w:rPr>
          <w:rFonts w:ascii="Gill Sans MT" w:hAnsi="Gill Sans MT"/>
          <w:sz w:val="22"/>
          <w:szCs w:val="22"/>
        </w:rPr>
        <w:t>?</w:t>
      </w:r>
      <w:r w:rsidR="004809F9" w:rsidRPr="00613711">
        <w:rPr>
          <w:rFonts w:ascii="Gill Sans MT" w:hAnsi="Gill Sans MT"/>
          <w:sz w:val="22"/>
          <w:szCs w:val="22"/>
        </w:rPr>
        <w:t xml:space="preserve"> </w:t>
      </w:r>
    </w:p>
    <w:p w14:paraId="3BFA7C2A" w14:textId="1B6294B3" w:rsidR="003A7160" w:rsidRDefault="004809F9" w:rsidP="00DD30E8">
      <w:pPr>
        <w:pStyle w:val="ListParagraph"/>
        <w:numPr>
          <w:ilvl w:val="0"/>
          <w:numId w:val="12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613711">
        <w:rPr>
          <w:rFonts w:ascii="Gill Sans MT" w:hAnsi="Gill Sans MT"/>
          <w:sz w:val="22"/>
          <w:szCs w:val="22"/>
        </w:rPr>
        <w:t>Why</w:t>
      </w:r>
      <w:r w:rsidR="004A2988">
        <w:rPr>
          <w:rFonts w:ascii="Gill Sans MT" w:hAnsi="Gill Sans MT"/>
          <w:sz w:val="22"/>
          <w:szCs w:val="22"/>
        </w:rPr>
        <w:t>? D</w:t>
      </w:r>
      <w:r w:rsidRPr="00613711">
        <w:rPr>
          <w:rFonts w:ascii="Gill Sans MT" w:hAnsi="Gill Sans MT"/>
          <w:sz w:val="22"/>
          <w:szCs w:val="22"/>
        </w:rPr>
        <w:t xml:space="preserve">oes </w:t>
      </w:r>
      <w:r w:rsidR="00DD30E8">
        <w:rPr>
          <w:rFonts w:ascii="Gill Sans MT" w:hAnsi="Gill Sans MT"/>
          <w:sz w:val="22"/>
          <w:szCs w:val="22"/>
        </w:rPr>
        <w:t>sector-specific data offer explanations?</w:t>
      </w:r>
    </w:p>
    <w:p w14:paraId="4B01E561" w14:textId="64D1F9C3" w:rsidR="00E53DC9" w:rsidRDefault="000F06D6" w:rsidP="00DD30E8">
      <w:pPr>
        <w:pStyle w:val="ListParagraph"/>
        <w:numPr>
          <w:ilvl w:val="0"/>
          <w:numId w:val="12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Should EU or UK data be used for estimates</w:t>
      </w:r>
      <w:r w:rsidR="00E53DC9">
        <w:rPr>
          <w:rFonts w:ascii="Gill Sans MT" w:hAnsi="Gill Sans MT"/>
          <w:sz w:val="22"/>
          <w:szCs w:val="22"/>
        </w:rPr>
        <w:t>?</w:t>
      </w:r>
    </w:p>
    <w:p w14:paraId="79436E8B" w14:textId="77777777" w:rsidR="00DD30E8" w:rsidRPr="00DD30E8" w:rsidRDefault="00DD30E8" w:rsidP="00DD30E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0F57895B" w14:textId="17FD606E" w:rsidR="003460ED" w:rsidRDefault="007A286F" w:rsidP="00D2587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 w:rsidRPr="0086335B">
        <w:rPr>
          <w:rFonts w:ascii="Gill Sans MT" w:hAnsi="Gill Sans MT"/>
          <w:i/>
          <w:iCs/>
          <w:sz w:val="22"/>
          <w:szCs w:val="22"/>
        </w:rPr>
        <w:t>The UK economy is service</w:t>
      </w:r>
      <w:r w:rsidR="00D840F5" w:rsidRPr="0086335B">
        <w:rPr>
          <w:rFonts w:ascii="Gill Sans MT" w:hAnsi="Gill Sans MT"/>
          <w:i/>
          <w:iCs/>
          <w:sz w:val="22"/>
          <w:szCs w:val="22"/>
        </w:rPr>
        <w:t>s based.</w:t>
      </w:r>
      <w:r w:rsidR="00D840F5">
        <w:rPr>
          <w:rFonts w:ascii="Gill Sans MT" w:hAnsi="Gill Sans MT"/>
          <w:sz w:val="22"/>
          <w:szCs w:val="22"/>
        </w:rPr>
        <w:t xml:space="preserve"> </w:t>
      </w:r>
      <w:r w:rsidR="00CB3CF3">
        <w:rPr>
          <w:rFonts w:ascii="Gill Sans MT" w:hAnsi="Gill Sans MT"/>
          <w:sz w:val="22"/>
          <w:szCs w:val="22"/>
        </w:rPr>
        <w:t>In</w:t>
      </w:r>
      <w:r w:rsidR="001759AD">
        <w:rPr>
          <w:rFonts w:ascii="Gill Sans MT" w:hAnsi="Gill Sans MT"/>
          <w:sz w:val="22"/>
          <w:szCs w:val="22"/>
        </w:rPr>
        <w:t xml:space="preserve"> 2023,</w:t>
      </w:r>
      <w:r w:rsidR="00CB3CF3">
        <w:rPr>
          <w:rFonts w:ascii="Gill Sans MT" w:hAnsi="Gill Sans MT"/>
          <w:sz w:val="22"/>
          <w:szCs w:val="22"/>
        </w:rPr>
        <w:t xml:space="preserve"> </w:t>
      </w:r>
      <w:r w:rsidR="00CB3CF3" w:rsidRPr="00CB3CF3">
        <w:rPr>
          <w:rFonts w:ascii="Gill Sans MT" w:hAnsi="Gill Sans MT"/>
          <w:sz w:val="22"/>
          <w:szCs w:val="22"/>
        </w:rPr>
        <w:t>service industries accounted for 8</w:t>
      </w:r>
      <w:r w:rsidR="0046649E">
        <w:rPr>
          <w:rFonts w:ascii="Gill Sans MT" w:hAnsi="Gill Sans MT"/>
          <w:sz w:val="22"/>
          <w:szCs w:val="22"/>
        </w:rPr>
        <w:t>4.8</w:t>
      </w:r>
      <w:r w:rsidR="00CB3CF3" w:rsidRPr="00CB3CF3">
        <w:rPr>
          <w:rFonts w:ascii="Gill Sans MT" w:hAnsi="Gill Sans MT"/>
          <w:sz w:val="22"/>
          <w:szCs w:val="22"/>
        </w:rPr>
        <w:t xml:space="preserve">% of </w:t>
      </w:r>
      <w:r w:rsidR="0081735A">
        <w:rPr>
          <w:rFonts w:ascii="Gill Sans MT" w:hAnsi="Gill Sans MT"/>
          <w:sz w:val="22"/>
          <w:szCs w:val="22"/>
        </w:rPr>
        <w:t xml:space="preserve">UK </w:t>
      </w:r>
      <w:r w:rsidR="00CB3CF3" w:rsidRPr="00CB3CF3">
        <w:rPr>
          <w:rFonts w:ascii="Gill Sans MT" w:hAnsi="Gill Sans MT"/>
          <w:sz w:val="22"/>
          <w:szCs w:val="22"/>
        </w:rPr>
        <w:t>employment</w:t>
      </w:r>
      <w:r w:rsidR="009B1C34">
        <w:rPr>
          <w:rFonts w:ascii="Gill Sans MT" w:hAnsi="Gill Sans MT"/>
          <w:sz w:val="22"/>
          <w:szCs w:val="22"/>
        </w:rPr>
        <w:t xml:space="preserve"> </w:t>
      </w:r>
      <w:r w:rsidR="009B1C34" w:rsidRPr="001E2A5E">
        <w:rPr>
          <w:rFonts w:ascii="Gill Sans MT" w:hAnsi="Gill Sans MT"/>
          <w:sz w:val="22"/>
          <w:szCs w:val="22"/>
        </w:rPr>
        <w:t>(Panjwani, House of Commons Library, 20</w:t>
      </w:r>
      <w:r w:rsidR="00EF6DFF" w:rsidRPr="001E2A5E">
        <w:rPr>
          <w:rFonts w:ascii="Gill Sans MT" w:hAnsi="Gill Sans MT"/>
          <w:sz w:val="22"/>
          <w:szCs w:val="22"/>
        </w:rPr>
        <w:t>2</w:t>
      </w:r>
      <w:r w:rsidR="009B1C34" w:rsidRPr="001E2A5E">
        <w:rPr>
          <w:rFonts w:ascii="Gill Sans MT" w:hAnsi="Gill Sans MT"/>
          <w:sz w:val="22"/>
          <w:szCs w:val="22"/>
        </w:rPr>
        <w:t>3)</w:t>
      </w:r>
      <w:r w:rsidR="00A771B7" w:rsidRPr="001E2A5E">
        <w:rPr>
          <w:rFonts w:ascii="Gill Sans MT" w:hAnsi="Gill Sans MT"/>
          <w:sz w:val="22"/>
          <w:szCs w:val="22"/>
        </w:rPr>
        <w:t>.</w:t>
      </w:r>
      <w:r w:rsidR="005D65FC" w:rsidRPr="005D65FC">
        <w:rPr>
          <w:rFonts w:ascii="Gill Sans MT" w:hAnsi="Gill Sans MT"/>
          <w:color w:val="70AD47" w:themeColor="accent6"/>
          <w:sz w:val="22"/>
          <w:szCs w:val="22"/>
        </w:rPr>
        <w:t xml:space="preserve"> </w:t>
      </w:r>
      <w:r w:rsidR="001951BF" w:rsidRPr="006116DF">
        <w:rPr>
          <w:rFonts w:ascii="Gill Sans MT" w:hAnsi="Gill Sans MT"/>
          <w:sz w:val="22"/>
          <w:szCs w:val="22"/>
        </w:rPr>
        <w:t xml:space="preserve">Services </w:t>
      </w:r>
      <w:r w:rsidR="001A7055">
        <w:rPr>
          <w:rFonts w:ascii="Gill Sans MT" w:hAnsi="Gill Sans MT"/>
          <w:sz w:val="22"/>
          <w:szCs w:val="22"/>
        </w:rPr>
        <w:t>total</w:t>
      </w:r>
      <w:r w:rsidR="001951BF" w:rsidRPr="006116DF">
        <w:rPr>
          <w:rFonts w:ascii="Gill Sans MT" w:hAnsi="Gill Sans MT"/>
          <w:sz w:val="22"/>
          <w:szCs w:val="22"/>
        </w:rPr>
        <w:t xml:space="preserve"> </w:t>
      </w:r>
      <w:r w:rsidR="00DB35BB">
        <w:rPr>
          <w:rFonts w:ascii="Gill Sans MT" w:hAnsi="Gill Sans MT"/>
          <w:sz w:val="22"/>
          <w:szCs w:val="22"/>
        </w:rPr>
        <w:t>~</w:t>
      </w:r>
      <w:r w:rsidR="001951BF" w:rsidRPr="006116DF">
        <w:rPr>
          <w:rFonts w:ascii="Gill Sans MT" w:hAnsi="Gill Sans MT"/>
          <w:sz w:val="22"/>
          <w:szCs w:val="22"/>
        </w:rPr>
        <w:t>40 percent of the UK’s exports to the EU</w:t>
      </w:r>
      <w:r w:rsidR="0063453D">
        <w:rPr>
          <w:rFonts w:ascii="Gill Sans MT" w:hAnsi="Gill Sans MT"/>
          <w:sz w:val="22"/>
          <w:szCs w:val="22"/>
        </w:rPr>
        <w:t>, half of which being financial or business services</w:t>
      </w:r>
      <w:r w:rsidR="004058CC">
        <w:rPr>
          <w:rFonts w:ascii="Gill Sans MT" w:hAnsi="Gill Sans MT"/>
          <w:sz w:val="22"/>
          <w:szCs w:val="22"/>
        </w:rPr>
        <w:t xml:space="preserve"> (</w:t>
      </w:r>
      <w:r w:rsidR="009B1C34" w:rsidRPr="001E2A5E">
        <w:rPr>
          <w:rFonts w:ascii="Gill Sans MT" w:hAnsi="Gill Sans MT"/>
          <w:sz w:val="22"/>
          <w:szCs w:val="22"/>
        </w:rPr>
        <w:t>Freeman et al. 20</w:t>
      </w:r>
      <w:r w:rsidR="00FC0146" w:rsidRPr="001E2A5E">
        <w:rPr>
          <w:rFonts w:ascii="Gill Sans MT" w:hAnsi="Gill Sans MT"/>
          <w:sz w:val="22"/>
          <w:szCs w:val="22"/>
        </w:rPr>
        <w:t>2</w:t>
      </w:r>
      <w:r w:rsidR="009B1C34" w:rsidRPr="001E2A5E">
        <w:rPr>
          <w:rFonts w:ascii="Gill Sans MT" w:hAnsi="Gill Sans MT"/>
          <w:sz w:val="22"/>
          <w:szCs w:val="22"/>
        </w:rPr>
        <w:t>2)</w:t>
      </w:r>
      <w:r w:rsidR="004058CC">
        <w:rPr>
          <w:rFonts w:ascii="Gill Sans MT" w:hAnsi="Gill Sans MT"/>
          <w:sz w:val="22"/>
          <w:szCs w:val="22"/>
        </w:rPr>
        <w:t>.</w:t>
      </w:r>
    </w:p>
    <w:p w14:paraId="411F25FE" w14:textId="77777777" w:rsidR="00810836" w:rsidRDefault="00810836" w:rsidP="007A286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7FB86DE4" w14:textId="32A2BE43" w:rsidR="00874E94" w:rsidRDefault="001F2C8E" w:rsidP="00874E9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i/>
          <w:iCs/>
          <w:sz w:val="22"/>
          <w:szCs w:val="22"/>
        </w:rPr>
        <w:t xml:space="preserve">Trade openness differs. </w:t>
      </w:r>
      <w:r w:rsidR="00C059F0" w:rsidRPr="00AE0B69">
        <w:rPr>
          <w:rFonts w:ascii="Gill Sans MT" w:hAnsi="Gill Sans MT"/>
          <w:sz w:val="22"/>
          <w:szCs w:val="22"/>
        </w:rPr>
        <w:t xml:space="preserve">Table </w:t>
      </w:r>
      <w:r w:rsidR="00AE0B69" w:rsidRPr="00AE0B69">
        <w:rPr>
          <w:rFonts w:ascii="Gill Sans MT" w:hAnsi="Gill Sans MT"/>
          <w:sz w:val="22"/>
          <w:szCs w:val="22"/>
        </w:rPr>
        <w:t>1</w:t>
      </w:r>
      <w:r w:rsidR="00C059F0" w:rsidRPr="00AE0B69">
        <w:rPr>
          <w:rFonts w:ascii="Gill Sans MT" w:hAnsi="Gill Sans MT"/>
          <w:sz w:val="22"/>
          <w:szCs w:val="22"/>
        </w:rPr>
        <w:t xml:space="preserve"> </w:t>
      </w:r>
      <w:r w:rsidR="00C059F0">
        <w:rPr>
          <w:rFonts w:ascii="Gill Sans MT" w:hAnsi="Gill Sans MT"/>
          <w:sz w:val="22"/>
          <w:szCs w:val="22"/>
        </w:rPr>
        <w:t xml:space="preserve">shows </w:t>
      </w:r>
      <w:r w:rsidR="005D65FC">
        <w:rPr>
          <w:rFonts w:ascii="Gill Sans MT" w:hAnsi="Gill Sans MT"/>
          <w:sz w:val="22"/>
          <w:szCs w:val="22"/>
        </w:rPr>
        <w:t xml:space="preserve">the </w:t>
      </w:r>
      <w:r w:rsidR="00096638">
        <w:rPr>
          <w:rFonts w:ascii="Gill Sans MT" w:hAnsi="Gill Sans MT"/>
          <w:sz w:val="22"/>
          <w:szCs w:val="22"/>
        </w:rPr>
        <w:t xml:space="preserve">vast difference in </w:t>
      </w:r>
      <w:r w:rsidR="005D65FC">
        <w:rPr>
          <w:rFonts w:ascii="Gill Sans MT" w:hAnsi="Gill Sans MT"/>
          <w:sz w:val="22"/>
          <w:szCs w:val="22"/>
        </w:rPr>
        <w:t>trade openness (Exports + Imports/GDP) of various EU members</w:t>
      </w:r>
      <w:r w:rsidR="000F3D72">
        <w:rPr>
          <w:rFonts w:ascii="Gill Sans MT" w:hAnsi="Gill Sans MT"/>
          <w:sz w:val="22"/>
          <w:szCs w:val="22"/>
        </w:rPr>
        <w:t xml:space="preserve"> in 2010</w:t>
      </w:r>
      <w:r w:rsidR="00096638">
        <w:rPr>
          <w:rFonts w:ascii="Gill Sans MT" w:hAnsi="Gill Sans MT"/>
          <w:sz w:val="22"/>
          <w:szCs w:val="22"/>
        </w:rPr>
        <w:t>, despite all being bound to the same EU rules</w:t>
      </w:r>
      <w:r w:rsidR="005D65FC">
        <w:rPr>
          <w:rFonts w:ascii="Gill Sans MT" w:hAnsi="Gill Sans MT"/>
          <w:sz w:val="22"/>
          <w:szCs w:val="22"/>
        </w:rPr>
        <w:t xml:space="preserve">. </w:t>
      </w:r>
    </w:p>
    <w:p w14:paraId="0E58032B" w14:textId="649C0120" w:rsidR="00AE0B69" w:rsidRDefault="00AE0B69" w:rsidP="00AE0B6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sz w:val="22"/>
          <w:szCs w:val="22"/>
        </w:rPr>
      </w:pPr>
      <w:r w:rsidRPr="00007382">
        <w:rPr>
          <w:rFonts w:ascii="Gill Sans MT" w:hAnsi="Gill Sans MT"/>
          <w:sz w:val="22"/>
          <w:szCs w:val="22"/>
        </w:rPr>
        <w:t>&lt; Insert Table 1 Here &gt;</w:t>
      </w:r>
    </w:p>
    <w:p w14:paraId="34FBE889" w14:textId="77777777" w:rsidR="00007382" w:rsidRDefault="00007382" w:rsidP="00AE0B6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sz w:val="22"/>
          <w:szCs w:val="22"/>
        </w:rPr>
      </w:pPr>
    </w:p>
    <w:p w14:paraId="6C66F1AB" w14:textId="5F3ABD31" w:rsidR="00C059F0" w:rsidRDefault="002659EC" w:rsidP="00E650C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i/>
          <w:iCs/>
          <w:sz w:val="22"/>
          <w:szCs w:val="22"/>
        </w:rPr>
        <w:t>T</w:t>
      </w:r>
      <w:r w:rsidR="00874E94" w:rsidRPr="0086335B">
        <w:rPr>
          <w:rFonts w:ascii="Gill Sans MT" w:hAnsi="Gill Sans MT"/>
          <w:i/>
          <w:iCs/>
          <w:sz w:val="22"/>
          <w:szCs w:val="22"/>
        </w:rPr>
        <w:t>he EU is more important to the UK than the EU is to the UK</w:t>
      </w:r>
      <w:r w:rsidR="00874E94">
        <w:rPr>
          <w:rFonts w:ascii="Gill Sans MT" w:hAnsi="Gill Sans MT"/>
          <w:sz w:val="22"/>
          <w:szCs w:val="22"/>
        </w:rPr>
        <w:t xml:space="preserve">. </w:t>
      </w:r>
      <w:r w:rsidR="00874E94" w:rsidRPr="006116DF">
        <w:rPr>
          <w:rFonts w:ascii="Gill Sans MT" w:hAnsi="Gill Sans MT"/>
          <w:sz w:val="22"/>
          <w:szCs w:val="22"/>
        </w:rPr>
        <w:t xml:space="preserve">Before Brexit, </w:t>
      </w:r>
      <w:r w:rsidR="00874E94">
        <w:rPr>
          <w:rFonts w:ascii="Gill Sans MT" w:hAnsi="Gill Sans MT"/>
          <w:sz w:val="22"/>
          <w:szCs w:val="22"/>
        </w:rPr>
        <w:t>~</w:t>
      </w:r>
      <w:r w:rsidR="00874E94" w:rsidRPr="006116DF">
        <w:rPr>
          <w:rFonts w:ascii="Gill Sans MT" w:hAnsi="Gill Sans MT"/>
          <w:sz w:val="22"/>
          <w:szCs w:val="22"/>
        </w:rPr>
        <w:t>50% of UK goods trade</w:t>
      </w:r>
      <w:r w:rsidR="00874E94">
        <w:rPr>
          <w:rFonts w:ascii="Gill Sans MT" w:hAnsi="Gill Sans MT"/>
          <w:sz w:val="22"/>
          <w:szCs w:val="22"/>
        </w:rPr>
        <w:t xml:space="preserve"> was with the EU</w:t>
      </w:r>
      <w:r w:rsidR="00874E94" w:rsidRPr="006116DF">
        <w:rPr>
          <w:rFonts w:ascii="Gill Sans MT" w:hAnsi="Gill Sans MT"/>
          <w:sz w:val="22"/>
          <w:szCs w:val="22"/>
        </w:rPr>
        <w:t xml:space="preserve">, while </w:t>
      </w:r>
      <w:r w:rsidR="00874E94">
        <w:rPr>
          <w:rFonts w:ascii="Gill Sans MT" w:hAnsi="Gill Sans MT"/>
          <w:sz w:val="22"/>
          <w:szCs w:val="22"/>
        </w:rPr>
        <w:t>~5</w:t>
      </w:r>
      <w:r w:rsidR="00874E94" w:rsidRPr="006116DF">
        <w:rPr>
          <w:rFonts w:ascii="Gill Sans MT" w:hAnsi="Gill Sans MT"/>
          <w:sz w:val="22"/>
          <w:szCs w:val="22"/>
        </w:rPr>
        <w:t xml:space="preserve">% of </w:t>
      </w:r>
      <w:r w:rsidR="00E7230A">
        <w:rPr>
          <w:rFonts w:ascii="Gill Sans MT" w:hAnsi="Gill Sans MT"/>
          <w:sz w:val="22"/>
          <w:szCs w:val="22"/>
        </w:rPr>
        <w:t xml:space="preserve">total </w:t>
      </w:r>
      <w:r w:rsidR="00874E94" w:rsidRPr="006116DF">
        <w:rPr>
          <w:rFonts w:ascii="Gill Sans MT" w:hAnsi="Gill Sans MT"/>
          <w:sz w:val="22"/>
          <w:szCs w:val="22"/>
        </w:rPr>
        <w:t xml:space="preserve">EU trade </w:t>
      </w:r>
      <w:r w:rsidR="00874E94">
        <w:rPr>
          <w:rFonts w:ascii="Gill Sans MT" w:hAnsi="Gill Sans MT"/>
          <w:sz w:val="22"/>
          <w:szCs w:val="22"/>
        </w:rPr>
        <w:t>was with the UK</w:t>
      </w:r>
      <w:r w:rsidR="00F12D53">
        <w:rPr>
          <w:rFonts w:ascii="Gill Sans MT" w:hAnsi="Gill Sans MT"/>
          <w:sz w:val="22"/>
          <w:szCs w:val="22"/>
        </w:rPr>
        <w:t xml:space="preserve"> </w:t>
      </w:r>
      <w:r w:rsidR="00F12D53" w:rsidRPr="001E2A5E">
        <w:rPr>
          <w:rFonts w:ascii="Gill Sans MT" w:hAnsi="Gill Sans MT"/>
          <w:sz w:val="22"/>
          <w:szCs w:val="22"/>
        </w:rPr>
        <w:t>(Kren and Lawless, 2024).</w:t>
      </w:r>
    </w:p>
    <w:p w14:paraId="5DBE3C4E" w14:textId="77777777" w:rsidR="00AE142D" w:rsidRDefault="00AE142D" w:rsidP="00E650C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517EBFD2" w14:textId="37ED85E2" w:rsidR="00D027E6" w:rsidRDefault="00990817" w:rsidP="00D027E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ab/>
      </w:r>
      <w:r w:rsidR="00E7230A">
        <w:rPr>
          <w:rFonts w:ascii="Gill Sans MT" w:hAnsi="Gill Sans MT"/>
          <w:sz w:val="22"/>
          <w:szCs w:val="22"/>
        </w:rPr>
        <w:t>T</w:t>
      </w:r>
      <w:r w:rsidR="00774D18">
        <w:rPr>
          <w:rFonts w:ascii="Gill Sans MT" w:hAnsi="Gill Sans MT"/>
          <w:sz w:val="22"/>
          <w:szCs w:val="22"/>
        </w:rPr>
        <w:t>he</w:t>
      </w:r>
      <w:r w:rsidR="00200865">
        <w:rPr>
          <w:rFonts w:ascii="Gill Sans MT" w:hAnsi="Gill Sans MT"/>
          <w:sz w:val="22"/>
          <w:szCs w:val="22"/>
        </w:rPr>
        <w:t xml:space="preserve"> </w:t>
      </w:r>
      <w:r w:rsidR="00DB35BB">
        <w:rPr>
          <w:rFonts w:ascii="Gill Sans MT" w:hAnsi="Gill Sans MT"/>
          <w:i/>
          <w:iCs/>
          <w:sz w:val="22"/>
          <w:szCs w:val="22"/>
        </w:rPr>
        <w:t>Great British P</w:t>
      </w:r>
      <w:r w:rsidR="00200865" w:rsidRPr="006620D6">
        <w:rPr>
          <w:rFonts w:ascii="Gill Sans MT" w:hAnsi="Gill Sans MT"/>
          <w:i/>
          <w:iCs/>
          <w:sz w:val="22"/>
          <w:szCs w:val="22"/>
        </w:rPr>
        <w:t>ound</w:t>
      </w:r>
      <w:r w:rsidR="00DB35BB">
        <w:rPr>
          <w:rFonts w:ascii="Gill Sans MT" w:hAnsi="Gill Sans MT"/>
          <w:i/>
          <w:iCs/>
          <w:sz w:val="22"/>
          <w:szCs w:val="22"/>
        </w:rPr>
        <w:t xml:space="preserve"> (GBP)</w:t>
      </w:r>
      <w:r w:rsidR="00200865" w:rsidRPr="006620D6">
        <w:rPr>
          <w:rFonts w:ascii="Gill Sans MT" w:hAnsi="Gill Sans MT"/>
          <w:i/>
          <w:iCs/>
          <w:sz w:val="22"/>
          <w:szCs w:val="22"/>
        </w:rPr>
        <w:t xml:space="preserve"> has fallen</w:t>
      </w:r>
      <w:r w:rsidR="00200865">
        <w:rPr>
          <w:rFonts w:ascii="Gill Sans MT" w:hAnsi="Gill Sans MT"/>
          <w:sz w:val="22"/>
          <w:szCs w:val="22"/>
        </w:rPr>
        <w:t xml:space="preserve"> since the referendum.</w:t>
      </w:r>
      <w:r w:rsidR="006620D6">
        <w:rPr>
          <w:rFonts w:ascii="Gill Sans MT" w:hAnsi="Gill Sans MT"/>
          <w:sz w:val="22"/>
          <w:szCs w:val="22"/>
        </w:rPr>
        <w:t xml:space="preserve"> </w:t>
      </w:r>
    </w:p>
    <w:p w14:paraId="367EADEA" w14:textId="21362D11" w:rsidR="00007382" w:rsidRDefault="007269D5" w:rsidP="0000738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sz w:val="22"/>
          <w:szCs w:val="22"/>
        </w:rPr>
      </w:pPr>
      <w:r w:rsidRPr="00007382">
        <w:rPr>
          <w:rFonts w:ascii="Gill Sans MT" w:hAnsi="Gill Sans MT"/>
          <w:sz w:val="22"/>
          <w:szCs w:val="22"/>
        </w:rPr>
        <w:t xml:space="preserve">&lt; </w:t>
      </w:r>
      <w:r w:rsidR="008A0A46" w:rsidRPr="00007382">
        <w:rPr>
          <w:rFonts w:ascii="Gill Sans MT" w:hAnsi="Gill Sans MT"/>
          <w:sz w:val="22"/>
          <w:szCs w:val="22"/>
        </w:rPr>
        <w:t xml:space="preserve">Insert </w:t>
      </w:r>
      <w:r w:rsidRPr="00007382">
        <w:rPr>
          <w:rFonts w:ascii="Gill Sans MT" w:hAnsi="Gill Sans MT"/>
          <w:sz w:val="22"/>
          <w:szCs w:val="22"/>
        </w:rPr>
        <w:t>Figure 1</w:t>
      </w:r>
      <w:r w:rsidR="008A0A46" w:rsidRPr="00007382">
        <w:rPr>
          <w:rFonts w:ascii="Gill Sans MT" w:hAnsi="Gill Sans MT"/>
          <w:sz w:val="22"/>
          <w:szCs w:val="22"/>
        </w:rPr>
        <w:t xml:space="preserve"> </w:t>
      </w:r>
      <w:r w:rsidR="0030544E">
        <w:rPr>
          <w:rFonts w:ascii="Gill Sans MT" w:hAnsi="Gill Sans MT"/>
          <w:sz w:val="22"/>
          <w:szCs w:val="22"/>
        </w:rPr>
        <w:t>h</w:t>
      </w:r>
      <w:r w:rsidR="008A0A46" w:rsidRPr="00007382">
        <w:rPr>
          <w:rFonts w:ascii="Gill Sans MT" w:hAnsi="Gill Sans MT"/>
          <w:sz w:val="22"/>
          <w:szCs w:val="22"/>
        </w:rPr>
        <w:t>ere</w:t>
      </w:r>
      <w:r w:rsidRPr="00007382">
        <w:rPr>
          <w:rFonts w:ascii="Gill Sans MT" w:hAnsi="Gill Sans MT"/>
          <w:sz w:val="22"/>
          <w:szCs w:val="22"/>
        </w:rPr>
        <w:t xml:space="preserve"> &gt;</w:t>
      </w:r>
    </w:p>
    <w:p w14:paraId="209E7D76" w14:textId="77777777" w:rsidR="0030544E" w:rsidRDefault="0030544E" w:rsidP="00305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6C919610" w14:textId="5BEBEB35" w:rsidR="006128C8" w:rsidRDefault="00596504" w:rsidP="005C48B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‘Leave’</w:t>
      </w:r>
      <w:r w:rsidR="004A78AD">
        <w:rPr>
          <w:rFonts w:ascii="Gill Sans MT" w:hAnsi="Gill Sans MT"/>
          <w:sz w:val="22"/>
          <w:szCs w:val="22"/>
        </w:rPr>
        <w:t xml:space="preserve"> voters </w:t>
      </w:r>
      <w:r w:rsidR="00F877D3">
        <w:rPr>
          <w:rFonts w:ascii="Gill Sans MT" w:hAnsi="Gill Sans MT"/>
          <w:sz w:val="22"/>
          <w:szCs w:val="22"/>
        </w:rPr>
        <w:t>sought</w:t>
      </w:r>
      <w:r w:rsidR="00AE71D0">
        <w:rPr>
          <w:rFonts w:ascii="Gill Sans MT" w:hAnsi="Gill Sans MT"/>
          <w:sz w:val="22"/>
          <w:szCs w:val="22"/>
        </w:rPr>
        <w:t xml:space="preserve"> </w:t>
      </w:r>
      <w:r w:rsidR="00D07B9C">
        <w:rPr>
          <w:rFonts w:ascii="Gill Sans MT" w:hAnsi="Gill Sans MT"/>
          <w:sz w:val="22"/>
          <w:szCs w:val="22"/>
        </w:rPr>
        <w:t xml:space="preserve">political and </w:t>
      </w:r>
      <w:r w:rsidR="00B32674">
        <w:rPr>
          <w:rFonts w:ascii="Gill Sans MT" w:hAnsi="Gill Sans MT"/>
          <w:sz w:val="22"/>
          <w:szCs w:val="22"/>
        </w:rPr>
        <w:t xml:space="preserve">economic independence </w:t>
      </w:r>
      <w:r w:rsidR="00AE71D0">
        <w:rPr>
          <w:rFonts w:ascii="Gill Sans MT" w:hAnsi="Gill Sans MT"/>
          <w:sz w:val="22"/>
          <w:szCs w:val="22"/>
        </w:rPr>
        <w:t>from EU bureaucracy</w:t>
      </w:r>
      <w:r w:rsidR="00E27718">
        <w:rPr>
          <w:rFonts w:ascii="Gill Sans MT" w:hAnsi="Gill Sans MT"/>
          <w:sz w:val="22"/>
          <w:szCs w:val="22"/>
        </w:rPr>
        <w:t xml:space="preserve">. </w:t>
      </w:r>
      <w:r w:rsidR="007703F0">
        <w:rPr>
          <w:rFonts w:ascii="Gill Sans MT" w:hAnsi="Gill Sans MT"/>
          <w:sz w:val="22"/>
          <w:szCs w:val="22"/>
        </w:rPr>
        <w:t>David Cameron, UK Prime Minister</w:t>
      </w:r>
      <w:r w:rsidR="000854DA">
        <w:rPr>
          <w:rFonts w:ascii="Gill Sans MT" w:hAnsi="Gill Sans MT"/>
          <w:sz w:val="22"/>
          <w:szCs w:val="22"/>
        </w:rPr>
        <w:t xml:space="preserve"> in</w:t>
      </w:r>
      <w:r w:rsidR="00313E75">
        <w:rPr>
          <w:rFonts w:ascii="Gill Sans MT" w:hAnsi="Gill Sans MT"/>
          <w:sz w:val="22"/>
          <w:szCs w:val="22"/>
        </w:rPr>
        <w:t xml:space="preserve"> </w:t>
      </w:r>
      <w:r w:rsidR="00DB35BB">
        <w:rPr>
          <w:rFonts w:ascii="Gill Sans MT" w:hAnsi="Gill Sans MT"/>
          <w:sz w:val="22"/>
          <w:szCs w:val="22"/>
        </w:rPr>
        <w:t>2014</w:t>
      </w:r>
      <w:r w:rsidR="007703F0">
        <w:rPr>
          <w:rFonts w:ascii="Gill Sans MT" w:hAnsi="Gill Sans MT"/>
          <w:sz w:val="22"/>
          <w:szCs w:val="22"/>
        </w:rPr>
        <w:t>: “Brussels has got too big, too bossy, too</w:t>
      </w:r>
      <w:r w:rsidR="00ED49CD">
        <w:rPr>
          <w:rFonts w:ascii="Gill Sans MT" w:hAnsi="Gill Sans MT"/>
          <w:sz w:val="22"/>
          <w:szCs w:val="22"/>
        </w:rPr>
        <w:t xml:space="preserve"> </w:t>
      </w:r>
      <w:r w:rsidR="007703F0">
        <w:rPr>
          <w:rFonts w:ascii="Gill Sans MT" w:hAnsi="Gill Sans MT"/>
          <w:sz w:val="22"/>
          <w:szCs w:val="22"/>
        </w:rPr>
        <w:t xml:space="preserve">interfering.” </w:t>
      </w:r>
      <w:r w:rsidR="009C05B1">
        <w:rPr>
          <w:rFonts w:ascii="Gill Sans MT" w:hAnsi="Gill Sans MT"/>
          <w:sz w:val="22"/>
          <w:szCs w:val="22"/>
        </w:rPr>
        <w:t xml:space="preserve">The paper “Who voted for Brexit?” </w:t>
      </w:r>
      <w:r w:rsidR="009C05B1" w:rsidRPr="00007382">
        <w:rPr>
          <w:rFonts w:ascii="Gill Sans MT" w:hAnsi="Gill Sans MT"/>
          <w:sz w:val="22"/>
          <w:szCs w:val="22"/>
        </w:rPr>
        <w:t>(</w:t>
      </w:r>
      <w:r w:rsidR="00D027E6" w:rsidRPr="00007382">
        <w:rPr>
          <w:rFonts w:ascii="Gill Sans MT" w:hAnsi="Gill Sans MT"/>
          <w:sz w:val="22"/>
          <w:szCs w:val="22"/>
        </w:rPr>
        <w:t>Brecker, Fetzer and Novy</w:t>
      </w:r>
      <w:r w:rsidR="000B2916" w:rsidRPr="00007382">
        <w:rPr>
          <w:rFonts w:ascii="Gill Sans MT" w:hAnsi="Gill Sans MT"/>
          <w:sz w:val="22"/>
          <w:szCs w:val="22"/>
        </w:rPr>
        <w:t>,</w:t>
      </w:r>
      <w:r w:rsidR="00D027E6" w:rsidRPr="00007382">
        <w:rPr>
          <w:rFonts w:ascii="Gill Sans MT" w:hAnsi="Gill Sans MT"/>
          <w:sz w:val="22"/>
          <w:szCs w:val="22"/>
        </w:rPr>
        <w:t xml:space="preserve"> 2017)</w:t>
      </w:r>
      <w:r w:rsidR="00D027E6">
        <w:rPr>
          <w:rFonts w:ascii="Gill Sans MT" w:hAnsi="Gill Sans MT"/>
          <w:sz w:val="22"/>
          <w:szCs w:val="22"/>
        </w:rPr>
        <w:t xml:space="preserve"> concludes that</w:t>
      </w:r>
      <w:r w:rsidR="005C48BD">
        <w:rPr>
          <w:rFonts w:ascii="Gill Sans MT" w:hAnsi="Gill Sans MT"/>
          <w:sz w:val="22"/>
          <w:szCs w:val="22"/>
        </w:rPr>
        <w:t xml:space="preserve"> </w:t>
      </w:r>
      <w:r w:rsidR="00D027E6">
        <w:rPr>
          <w:rFonts w:ascii="Gill Sans MT" w:hAnsi="Gill Sans MT"/>
          <w:sz w:val="22"/>
          <w:szCs w:val="22"/>
        </w:rPr>
        <w:t>areas with</w:t>
      </w:r>
      <w:r w:rsidR="005C48BD">
        <w:rPr>
          <w:rFonts w:ascii="Gill Sans MT" w:hAnsi="Gill Sans MT"/>
          <w:sz w:val="22"/>
          <w:szCs w:val="22"/>
        </w:rPr>
        <w:t xml:space="preserve"> d</w:t>
      </w:r>
      <w:r w:rsidR="00D027E6">
        <w:rPr>
          <w:rFonts w:ascii="Gill Sans MT" w:hAnsi="Gill Sans MT"/>
          <w:sz w:val="22"/>
          <w:szCs w:val="22"/>
        </w:rPr>
        <w:t xml:space="preserve">eprivation of education and income were more likely to vote leave. </w:t>
      </w:r>
    </w:p>
    <w:p w14:paraId="26D0A87A" w14:textId="16CB7E6F" w:rsidR="00DF203F" w:rsidRDefault="00596504" w:rsidP="00655D5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‘Remain’ voters</w:t>
      </w:r>
      <w:r w:rsidR="0075665A">
        <w:rPr>
          <w:rFonts w:ascii="Gill Sans MT" w:hAnsi="Gill Sans MT"/>
          <w:sz w:val="22"/>
          <w:szCs w:val="22"/>
        </w:rPr>
        <w:t xml:space="preserve"> </w:t>
      </w:r>
      <w:r w:rsidR="00705CFF">
        <w:rPr>
          <w:rFonts w:ascii="Gill Sans MT" w:hAnsi="Gill Sans MT"/>
          <w:sz w:val="22"/>
          <w:szCs w:val="22"/>
        </w:rPr>
        <w:t>valu</w:t>
      </w:r>
      <w:r w:rsidR="00D844B5">
        <w:rPr>
          <w:rFonts w:ascii="Gill Sans MT" w:hAnsi="Gill Sans MT"/>
          <w:sz w:val="22"/>
          <w:szCs w:val="22"/>
        </w:rPr>
        <w:t>ed the 4Fs</w:t>
      </w:r>
      <w:r w:rsidR="000109E7">
        <w:rPr>
          <w:rFonts w:ascii="Gill Sans MT" w:hAnsi="Gill Sans MT"/>
          <w:sz w:val="22"/>
          <w:szCs w:val="22"/>
        </w:rPr>
        <w:t xml:space="preserve"> </w:t>
      </w:r>
      <w:r w:rsidR="00D844B5">
        <w:rPr>
          <w:rFonts w:ascii="Gill Sans MT" w:hAnsi="Gill Sans MT"/>
          <w:sz w:val="22"/>
          <w:szCs w:val="22"/>
        </w:rPr>
        <w:t>an</w:t>
      </w:r>
      <w:r w:rsidR="00C53EE1">
        <w:rPr>
          <w:rFonts w:ascii="Gill Sans MT" w:hAnsi="Gill Sans MT"/>
          <w:sz w:val="22"/>
          <w:szCs w:val="22"/>
        </w:rPr>
        <w:t xml:space="preserve">d </w:t>
      </w:r>
      <w:r w:rsidR="00215EA3">
        <w:rPr>
          <w:rFonts w:ascii="Gill Sans MT" w:hAnsi="Gill Sans MT"/>
          <w:sz w:val="22"/>
          <w:szCs w:val="22"/>
        </w:rPr>
        <w:t xml:space="preserve">feared </w:t>
      </w:r>
      <w:r w:rsidR="00293E3B">
        <w:rPr>
          <w:rFonts w:ascii="Gill Sans MT" w:hAnsi="Gill Sans MT"/>
          <w:sz w:val="22"/>
          <w:szCs w:val="22"/>
        </w:rPr>
        <w:t>being</w:t>
      </w:r>
      <w:r w:rsidR="00C53EE1">
        <w:rPr>
          <w:rFonts w:ascii="Gill Sans MT" w:hAnsi="Gill Sans MT"/>
          <w:sz w:val="22"/>
          <w:szCs w:val="22"/>
        </w:rPr>
        <w:t xml:space="preserve"> “at the back of the queue” </w:t>
      </w:r>
      <w:r w:rsidR="00687857">
        <w:rPr>
          <w:rFonts w:ascii="Gill Sans MT" w:hAnsi="Gill Sans MT"/>
          <w:sz w:val="22"/>
          <w:szCs w:val="22"/>
        </w:rPr>
        <w:t>(Barack Obama</w:t>
      </w:r>
      <w:r w:rsidR="000854DA">
        <w:rPr>
          <w:rFonts w:ascii="Gill Sans MT" w:hAnsi="Gill Sans MT"/>
          <w:sz w:val="22"/>
          <w:szCs w:val="22"/>
        </w:rPr>
        <w:t>,</w:t>
      </w:r>
      <w:r w:rsidR="00BC4050">
        <w:rPr>
          <w:rFonts w:ascii="Gill Sans MT" w:hAnsi="Gill Sans MT"/>
          <w:sz w:val="22"/>
          <w:szCs w:val="22"/>
        </w:rPr>
        <w:t xml:space="preserve"> </w:t>
      </w:r>
      <w:r w:rsidR="00003613">
        <w:rPr>
          <w:rFonts w:ascii="Gill Sans MT" w:hAnsi="Gill Sans MT"/>
          <w:sz w:val="22"/>
          <w:szCs w:val="22"/>
        </w:rPr>
        <w:t>US</w:t>
      </w:r>
      <w:r w:rsidR="005A5AAD">
        <w:rPr>
          <w:rFonts w:ascii="Gill Sans MT" w:hAnsi="Gill Sans MT"/>
          <w:sz w:val="22"/>
          <w:szCs w:val="22"/>
        </w:rPr>
        <w:t>A</w:t>
      </w:r>
      <w:r w:rsidR="00003613">
        <w:rPr>
          <w:rFonts w:ascii="Gill Sans MT" w:hAnsi="Gill Sans MT"/>
          <w:sz w:val="22"/>
          <w:szCs w:val="22"/>
        </w:rPr>
        <w:t xml:space="preserve"> President</w:t>
      </w:r>
      <w:r w:rsidR="000854DA">
        <w:rPr>
          <w:rFonts w:ascii="Gill Sans MT" w:hAnsi="Gill Sans MT"/>
          <w:sz w:val="22"/>
          <w:szCs w:val="22"/>
        </w:rPr>
        <w:t xml:space="preserve"> in </w:t>
      </w:r>
      <w:r w:rsidR="00687857">
        <w:rPr>
          <w:rFonts w:ascii="Gill Sans MT" w:hAnsi="Gill Sans MT"/>
          <w:sz w:val="22"/>
          <w:szCs w:val="22"/>
        </w:rPr>
        <w:t xml:space="preserve">2016) without EU </w:t>
      </w:r>
      <w:r w:rsidR="00895322">
        <w:rPr>
          <w:rFonts w:ascii="Gill Sans MT" w:hAnsi="Gill Sans MT"/>
          <w:sz w:val="22"/>
          <w:szCs w:val="22"/>
        </w:rPr>
        <w:t>assistance</w:t>
      </w:r>
      <w:r w:rsidR="00687857">
        <w:rPr>
          <w:rFonts w:ascii="Gill Sans MT" w:hAnsi="Gill Sans MT"/>
          <w:sz w:val="22"/>
          <w:szCs w:val="22"/>
        </w:rPr>
        <w:t xml:space="preserve"> </w:t>
      </w:r>
      <w:r w:rsidR="00293E3B">
        <w:rPr>
          <w:rFonts w:ascii="Gill Sans MT" w:hAnsi="Gill Sans MT"/>
          <w:sz w:val="22"/>
          <w:szCs w:val="22"/>
        </w:rPr>
        <w:t xml:space="preserve">in </w:t>
      </w:r>
      <w:r w:rsidR="00D07B9C">
        <w:rPr>
          <w:rFonts w:ascii="Gill Sans MT" w:hAnsi="Gill Sans MT"/>
          <w:sz w:val="22"/>
          <w:szCs w:val="22"/>
        </w:rPr>
        <w:t xml:space="preserve">trade </w:t>
      </w:r>
      <w:r w:rsidR="00293E3B">
        <w:rPr>
          <w:rFonts w:ascii="Gill Sans MT" w:hAnsi="Gill Sans MT"/>
          <w:sz w:val="22"/>
          <w:szCs w:val="22"/>
        </w:rPr>
        <w:t>negotiations</w:t>
      </w:r>
      <w:r w:rsidR="00687857">
        <w:rPr>
          <w:rFonts w:ascii="Gill Sans MT" w:hAnsi="Gill Sans MT"/>
          <w:sz w:val="22"/>
          <w:szCs w:val="22"/>
        </w:rPr>
        <w:t xml:space="preserve">. </w:t>
      </w:r>
      <w:r w:rsidR="00DF203F">
        <w:rPr>
          <w:rFonts w:ascii="Gill Sans MT" w:hAnsi="Gill Sans MT"/>
          <w:sz w:val="22"/>
          <w:szCs w:val="22"/>
        </w:rPr>
        <w:t xml:space="preserve">For much of the campaign ‘remain’ was expected to win. </w:t>
      </w:r>
    </w:p>
    <w:p w14:paraId="74844198" w14:textId="77777777" w:rsidR="0024025C" w:rsidRDefault="0024025C" w:rsidP="009F68A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0709A7EB" w14:textId="17DDD811" w:rsidR="009A1EB1" w:rsidRDefault="00A207A6" w:rsidP="008D4B3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ab/>
        <w:t xml:space="preserve">After the referendum, </w:t>
      </w:r>
      <w:r w:rsidR="00C435F3">
        <w:rPr>
          <w:rFonts w:ascii="Gill Sans MT" w:hAnsi="Gill Sans MT"/>
          <w:sz w:val="22"/>
          <w:szCs w:val="22"/>
        </w:rPr>
        <w:t>th</w:t>
      </w:r>
      <w:r w:rsidR="00AB1DB7">
        <w:rPr>
          <w:rFonts w:ascii="Gill Sans MT" w:hAnsi="Gill Sans MT"/>
          <w:sz w:val="22"/>
          <w:szCs w:val="22"/>
        </w:rPr>
        <w:t xml:space="preserve">ere was </w:t>
      </w:r>
      <w:r w:rsidR="00785ECD">
        <w:rPr>
          <w:rFonts w:ascii="Gill Sans MT" w:hAnsi="Gill Sans MT"/>
          <w:sz w:val="22"/>
          <w:szCs w:val="22"/>
        </w:rPr>
        <w:t>uncertainty</w:t>
      </w:r>
      <w:r w:rsidR="00352227">
        <w:rPr>
          <w:rFonts w:ascii="Gill Sans MT" w:hAnsi="Gill Sans MT"/>
          <w:sz w:val="22"/>
          <w:szCs w:val="22"/>
        </w:rPr>
        <w:t xml:space="preserve"> about</w:t>
      </w:r>
      <w:r w:rsidR="00982460">
        <w:rPr>
          <w:rFonts w:ascii="Gill Sans MT" w:hAnsi="Gill Sans MT"/>
          <w:sz w:val="22"/>
          <w:szCs w:val="22"/>
        </w:rPr>
        <w:t xml:space="preserve"> </w:t>
      </w:r>
      <w:r w:rsidR="007923AD">
        <w:rPr>
          <w:rFonts w:ascii="Gill Sans MT" w:hAnsi="Gill Sans MT"/>
          <w:sz w:val="22"/>
          <w:szCs w:val="22"/>
        </w:rPr>
        <w:t xml:space="preserve">the </w:t>
      </w:r>
      <w:r w:rsidR="00941193">
        <w:rPr>
          <w:rFonts w:ascii="Gill Sans MT" w:hAnsi="Gill Sans MT"/>
          <w:sz w:val="22"/>
          <w:szCs w:val="22"/>
        </w:rPr>
        <w:t xml:space="preserve">post-Brexit </w:t>
      </w:r>
      <w:r w:rsidR="00F90FC5">
        <w:rPr>
          <w:rFonts w:ascii="Gill Sans MT" w:hAnsi="Gill Sans MT"/>
          <w:sz w:val="22"/>
          <w:szCs w:val="22"/>
        </w:rPr>
        <w:t xml:space="preserve">relationship </w:t>
      </w:r>
      <w:r w:rsidR="000545D0">
        <w:rPr>
          <w:rFonts w:ascii="Gill Sans MT" w:hAnsi="Gill Sans MT"/>
          <w:sz w:val="22"/>
          <w:szCs w:val="22"/>
        </w:rPr>
        <w:t>between the UK and the EU</w:t>
      </w:r>
      <w:r w:rsidR="00655D52">
        <w:rPr>
          <w:rFonts w:ascii="Gill Sans MT" w:hAnsi="Gill Sans MT"/>
          <w:sz w:val="22"/>
          <w:szCs w:val="22"/>
        </w:rPr>
        <w:t>, as it hadn’t been negotiated</w:t>
      </w:r>
      <w:r w:rsidR="00F90FC5">
        <w:rPr>
          <w:rFonts w:ascii="Gill Sans MT" w:hAnsi="Gill Sans MT"/>
          <w:sz w:val="22"/>
          <w:szCs w:val="22"/>
        </w:rPr>
        <w:t>.</w:t>
      </w:r>
      <w:r w:rsidR="00982460">
        <w:rPr>
          <w:rFonts w:ascii="Gill Sans MT" w:hAnsi="Gill Sans MT"/>
          <w:sz w:val="22"/>
          <w:szCs w:val="22"/>
        </w:rPr>
        <w:t xml:space="preserve"> </w:t>
      </w:r>
      <w:r w:rsidR="001E2A5E">
        <w:rPr>
          <w:rFonts w:ascii="Gill Sans MT" w:hAnsi="Gill Sans MT"/>
          <w:sz w:val="22"/>
          <w:szCs w:val="22"/>
        </w:rPr>
        <w:t>It</w:t>
      </w:r>
      <w:r w:rsidR="00982460">
        <w:rPr>
          <w:rFonts w:ascii="Gill Sans MT" w:hAnsi="Gill Sans MT"/>
          <w:sz w:val="22"/>
          <w:szCs w:val="22"/>
        </w:rPr>
        <w:t xml:space="preserve"> </w:t>
      </w:r>
      <w:r w:rsidR="009A1EB1">
        <w:rPr>
          <w:rFonts w:ascii="Gill Sans MT" w:hAnsi="Gill Sans MT"/>
          <w:sz w:val="22"/>
          <w:szCs w:val="22"/>
        </w:rPr>
        <w:t xml:space="preserve">was expected to take 1 of 3 forms: </w:t>
      </w:r>
    </w:p>
    <w:p w14:paraId="77785EBB" w14:textId="2F197BBC" w:rsidR="00D90D02" w:rsidRPr="00D027E6" w:rsidRDefault="00745004" w:rsidP="00D027E6">
      <w:pPr>
        <w:pStyle w:val="ListParagraph"/>
        <w:numPr>
          <w:ilvl w:val="0"/>
          <w:numId w:val="4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D027E6">
        <w:rPr>
          <w:rFonts w:ascii="Gill Sans MT" w:hAnsi="Gill Sans MT"/>
          <w:sz w:val="22"/>
          <w:szCs w:val="22"/>
        </w:rPr>
        <w:t>‘</w:t>
      </w:r>
      <w:r w:rsidR="00D90D02" w:rsidRPr="00D027E6">
        <w:rPr>
          <w:rFonts w:ascii="Gill Sans MT" w:hAnsi="Gill Sans MT"/>
          <w:sz w:val="22"/>
          <w:szCs w:val="22"/>
        </w:rPr>
        <w:t>S</w:t>
      </w:r>
      <w:r w:rsidRPr="00D027E6">
        <w:rPr>
          <w:rFonts w:ascii="Gill Sans MT" w:hAnsi="Gill Sans MT"/>
          <w:sz w:val="22"/>
          <w:szCs w:val="22"/>
        </w:rPr>
        <w:t>oft’</w:t>
      </w:r>
      <w:r w:rsidR="00655D52">
        <w:rPr>
          <w:rFonts w:ascii="Gill Sans MT" w:hAnsi="Gill Sans MT"/>
          <w:sz w:val="22"/>
          <w:szCs w:val="22"/>
        </w:rPr>
        <w:t>:</w:t>
      </w:r>
      <w:r w:rsidR="00096FE4" w:rsidRPr="00D027E6">
        <w:rPr>
          <w:rFonts w:ascii="Gill Sans MT" w:hAnsi="Gill Sans MT"/>
          <w:sz w:val="22"/>
          <w:szCs w:val="22"/>
        </w:rPr>
        <w:t xml:space="preserve"> the UK </w:t>
      </w:r>
      <w:r w:rsidR="000230A8" w:rsidRPr="00D027E6">
        <w:rPr>
          <w:rFonts w:ascii="Gill Sans MT" w:hAnsi="Gill Sans MT"/>
          <w:sz w:val="22"/>
          <w:szCs w:val="22"/>
        </w:rPr>
        <w:t xml:space="preserve">remain a part of the </w:t>
      </w:r>
      <w:r w:rsidR="00734CC6" w:rsidRPr="00D027E6">
        <w:rPr>
          <w:rFonts w:ascii="Gill Sans MT" w:hAnsi="Gill Sans MT"/>
          <w:sz w:val="22"/>
          <w:szCs w:val="22"/>
        </w:rPr>
        <w:t>EU</w:t>
      </w:r>
      <w:r w:rsidR="004539E3">
        <w:rPr>
          <w:rFonts w:ascii="Gill Sans MT" w:hAnsi="Gill Sans MT"/>
          <w:sz w:val="22"/>
          <w:szCs w:val="22"/>
        </w:rPr>
        <w:t xml:space="preserve"> Single Market (EU</w:t>
      </w:r>
      <w:r w:rsidR="00734CC6" w:rsidRPr="00D027E6">
        <w:rPr>
          <w:rFonts w:ascii="Gill Sans MT" w:hAnsi="Gill Sans MT"/>
          <w:sz w:val="22"/>
          <w:szCs w:val="22"/>
        </w:rPr>
        <w:t>S</w:t>
      </w:r>
      <w:r w:rsidR="000109E7">
        <w:rPr>
          <w:rFonts w:ascii="Gill Sans MT" w:hAnsi="Gill Sans MT"/>
          <w:sz w:val="22"/>
          <w:szCs w:val="22"/>
        </w:rPr>
        <w:t>M</w:t>
      </w:r>
      <w:r w:rsidR="004539E3">
        <w:rPr>
          <w:rFonts w:ascii="Gill Sans MT" w:hAnsi="Gill Sans MT"/>
          <w:sz w:val="22"/>
          <w:szCs w:val="22"/>
        </w:rPr>
        <w:t>)</w:t>
      </w:r>
      <w:r w:rsidR="00785ECD">
        <w:rPr>
          <w:rFonts w:ascii="Gill Sans MT" w:hAnsi="Gill Sans MT"/>
          <w:sz w:val="22"/>
          <w:szCs w:val="22"/>
        </w:rPr>
        <w:t>.</w:t>
      </w:r>
      <w:r w:rsidR="00C42A37">
        <w:rPr>
          <w:rFonts w:ascii="Gill Sans MT" w:hAnsi="Gill Sans MT"/>
          <w:sz w:val="22"/>
          <w:szCs w:val="22"/>
        </w:rPr>
        <w:t xml:space="preserve"> The</w:t>
      </w:r>
      <w:r w:rsidR="00537E7A">
        <w:rPr>
          <w:rFonts w:ascii="Gill Sans MT" w:hAnsi="Gill Sans MT"/>
          <w:sz w:val="22"/>
          <w:szCs w:val="22"/>
        </w:rPr>
        <w:t xml:space="preserve"> UK </w:t>
      </w:r>
      <w:r w:rsidR="0055298C">
        <w:rPr>
          <w:rFonts w:ascii="Gill Sans MT" w:hAnsi="Gill Sans MT"/>
          <w:sz w:val="22"/>
          <w:szCs w:val="22"/>
        </w:rPr>
        <w:t>and the EU continue to allow each other</w:t>
      </w:r>
      <w:r w:rsidR="004539E3">
        <w:rPr>
          <w:rFonts w:ascii="Gill Sans MT" w:hAnsi="Gill Sans MT"/>
          <w:sz w:val="22"/>
          <w:szCs w:val="22"/>
        </w:rPr>
        <w:t xml:space="preserve"> generous</w:t>
      </w:r>
      <w:r w:rsidR="0055298C">
        <w:rPr>
          <w:rFonts w:ascii="Gill Sans MT" w:hAnsi="Gill Sans MT"/>
          <w:sz w:val="22"/>
          <w:szCs w:val="22"/>
        </w:rPr>
        <w:t xml:space="preserve"> </w:t>
      </w:r>
      <w:r w:rsidR="00762777">
        <w:rPr>
          <w:rFonts w:ascii="Gill Sans MT" w:hAnsi="Gill Sans MT"/>
          <w:sz w:val="22"/>
          <w:szCs w:val="22"/>
        </w:rPr>
        <w:t>market acces</w:t>
      </w:r>
      <w:r w:rsidR="004539E3">
        <w:rPr>
          <w:rFonts w:ascii="Gill Sans MT" w:hAnsi="Gill Sans MT"/>
          <w:sz w:val="22"/>
          <w:szCs w:val="22"/>
        </w:rPr>
        <w:t>s.</w:t>
      </w:r>
    </w:p>
    <w:p w14:paraId="4BD64886" w14:textId="608DD4E4" w:rsidR="00D90D02" w:rsidRPr="00D027E6" w:rsidRDefault="00982460" w:rsidP="00D027E6">
      <w:pPr>
        <w:pStyle w:val="ListParagraph"/>
        <w:numPr>
          <w:ilvl w:val="0"/>
          <w:numId w:val="4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D027E6">
        <w:rPr>
          <w:rFonts w:ascii="Gill Sans MT" w:hAnsi="Gill Sans MT"/>
          <w:sz w:val="22"/>
          <w:szCs w:val="22"/>
        </w:rPr>
        <w:lastRenderedPageBreak/>
        <w:t>‘</w:t>
      </w:r>
      <w:r w:rsidR="00D90D02" w:rsidRPr="00D027E6">
        <w:rPr>
          <w:rFonts w:ascii="Gill Sans MT" w:hAnsi="Gill Sans MT"/>
          <w:sz w:val="22"/>
          <w:szCs w:val="22"/>
        </w:rPr>
        <w:t>H</w:t>
      </w:r>
      <w:r w:rsidR="00734CC6" w:rsidRPr="00D027E6">
        <w:rPr>
          <w:rFonts w:ascii="Gill Sans MT" w:hAnsi="Gill Sans MT"/>
          <w:sz w:val="22"/>
          <w:szCs w:val="22"/>
        </w:rPr>
        <w:t>ard’</w:t>
      </w:r>
      <w:r w:rsidR="00655D52">
        <w:rPr>
          <w:rFonts w:ascii="Gill Sans MT" w:hAnsi="Gill Sans MT"/>
          <w:sz w:val="22"/>
          <w:szCs w:val="22"/>
        </w:rPr>
        <w:t>:</w:t>
      </w:r>
      <w:r w:rsidR="00734CC6" w:rsidRPr="00D027E6">
        <w:rPr>
          <w:rFonts w:ascii="Gill Sans MT" w:hAnsi="Gill Sans MT"/>
          <w:sz w:val="22"/>
          <w:szCs w:val="22"/>
        </w:rPr>
        <w:t xml:space="preserve"> </w:t>
      </w:r>
      <w:r w:rsidR="002F66B4">
        <w:rPr>
          <w:rFonts w:ascii="Gill Sans MT" w:hAnsi="Gill Sans MT"/>
          <w:sz w:val="22"/>
          <w:szCs w:val="22"/>
        </w:rPr>
        <w:t>the UK</w:t>
      </w:r>
      <w:r w:rsidR="00D9073A" w:rsidRPr="00D027E6">
        <w:rPr>
          <w:rFonts w:ascii="Gill Sans MT" w:hAnsi="Gill Sans MT"/>
          <w:sz w:val="22"/>
          <w:szCs w:val="22"/>
        </w:rPr>
        <w:t xml:space="preserve"> and the EU </w:t>
      </w:r>
      <w:r w:rsidR="000545D0">
        <w:rPr>
          <w:rFonts w:ascii="Gill Sans MT" w:hAnsi="Gill Sans MT"/>
          <w:sz w:val="22"/>
          <w:szCs w:val="22"/>
        </w:rPr>
        <w:t>become</w:t>
      </w:r>
      <w:r w:rsidR="00D9073A" w:rsidRPr="00D027E6">
        <w:rPr>
          <w:rFonts w:ascii="Gill Sans MT" w:hAnsi="Gill Sans MT"/>
          <w:sz w:val="22"/>
          <w:szCs w:val="22"/>
        </w:rPr>
        <w:t xml:space="preserve"> distinct </w:t>
      </w:r>
      <w:r w:rsidR="00A86038">
        <w:rPr>
          <w:rFonts w:ascii="Gill Sans MT" w:hAnsi="Gill Sans MT"/>
          <w:sz w:val="22"/>
          <w:szCs w:val="22"/>
        </w:rPr>
        <w:t>entities</w:t>
      </w:r>
      <w:r w:rsidR="006128C8">
        <w:rPr>
          <w:rFonts w:ascii="Gill Sans MT" w:hAnsi="Gill Sans MT"/>
          <w:sz w:val="22"/>
          <w:szCs w:val="22"/>
        </w:rPr>
        <w:t>.</w:t>
      </w:r>
      <w:r w:rsidR="00F45388" w:rsidRPr="00D027E6">
        <w:rPr>
          <w:rFonts w:ascii="Gill Sans MT" w:hAnsi="Gill Sans MT"/>
          <w:sz w:val="22"/>
          <w:szCs w:val="22"/>
        </w:rPr>
        <w:t xml:space="preserve"> </w:t>
      </w:r>
    </w:p>
    <w:p w14:paraId="5AADB382" w14:textId="284A876E" w:rsidR="000707BC" w:rsidRDefault="00D90D02" w:rsidP="00D027E6">
      <w:pPr>
        <w:pStyle w:val="ListParagraph"/>
        <w:numPr>
          <w:ilvl w:val="0"/>
          <w:numId w:val="4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D027E6">
        <w:rPr>
          <w:rFonts w:ascii="Gill Sans MT" w:hAnsi="Gill Sans MT"/>
          <w:sz w:val="22"/>
          <w:szCs w:val="22"/>
        </w:rPr>
        <w:t>Bilateral partnership</w:t>
      </w:r>
      <w:r w:rsidR="00655D52">
        <w:rPr>
          <w:rFonts w:ascii="Gill Sans MT" w:hAnsi="Gill Sans MT"/>
          <w:sz w:val="22"/>
          <w:szCs w:val="22"/>
        </w:rPr>
        <w:t>:</w:t>
      </w:r>
      <w:r w:rsidR="00221DDE">
        <w:rPr>
          <w:rFonts w:ascii="Gill Sans MT" w:hAnsi="Gill Sans MT"/>
          <w:sz w:val="22"/>
          <w:szCs w:val="22"/>
        </w:rPr>
        <w:t xml:space="preserve"> </w:t>
      </w:r>
      <w:r w:rsidR="00BF2BF6">
        <w:rPr>
          <w:rFonts w:ascii="Gill Sans MT" w:hAnsi="Gill Sans MT"/>
          <w:sz w:val="22"/>
          <w:szCs w:val="22"/>
        </w:rPr>
        <w:t xml:space="preserve">what </w:t>
      </w:r>
      <w:proofErr w:type="gramStart"/>
      <w:r w:rsidR="00BF2BF6">
        <w:rPr>
          <w:rFonts w:ascii="Gill Sans MT" w:hAnsi="Gill Sans MT"/>
          <w:sz w:val="22"/>
          <w:szCs w:val="22"/>
        </w:rPr>
        <w:t>actually happened</w:t>
      </w:r>
      <w:proofErr w:type="gramEnd"/>
      <w:r w:rsidR="00BF2BF6">
        <w:rPr>
          <w:rFonts w:ascii="Gill Sans MT" w:hAnsi="Gill Sans MT"/>
          <w:sz w:val="22"/>
          <w:szCs w:val="22"/>
        </w:rPr>
        <w:t xml:space="preserve"> with the </w:t>
      </w:r>
      <w:r w:rsidR="00D60043">
        <w:rPr>
          <w:rFonts w:ascii="Gill Sans MT" w:hAnsi="Gill Sans MT"/>
          <w:sz w:val="22"/>
          <w:szCs w:val="22"/>
        </w:rPr>
        <w:t>Trade and Cooperation Agreement (TCA)</w:t>
      </w:r>
      <w:r w:rsidR="00B430F9">
        <w:rPr>
          <w:rFonts w:ascii="Gill Sans MT" w:hAnsi="Gill Sans MT"/>
          <w:sz w:val="22"/>
          <w:szCs w:val="22"/>
        </w:rPr>
        <w:t xml:space="preserve">. </w:t>
      </w:r>
    </w:p>
    <w:p w14:paraId="47259956" w14:textId="77777777" w:rsidR="00D027E6" w:rsidRPr="00D027E6" w:rsidRDefault="00D027E6" w:rsidP="00D027E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0B6F342C" w14:textId="73986D10" w:rsidR="00D027E6" w:rsidRDefault="00352227" w:rsidP="00D027E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Eventually, t</w:t>
      </w:r>
      <w:r w:rsidR="00982460">
        <w:rPr>
          <w:rFonts w:ascii="Gill Sans MT" w:hAnsi="Gill Sans MT"/>
          <w:sz w:val="22"/>
          <w:szCs w:val="22"/>
        </w:rPr>
        <w:t>he TCA was signed on</w:t>
      </w:r>
      <w:r w:rsidR="00AB1DB7">
        <w:rPr>
          <w:rFonts w:ascii="Gill Sans MT" w:hAnsi="Gill Sans MT"/>
          <w:sz w:val="22"/>
          <w:szCs w:val="22"/>
        </w:rPr>
        <w:t xml:space="preserve"> December </w:t>
      </w:r>
      <w:r w:rsidR="00982460">
        <w:rPr>
          <w:rFonts w:ascii="Gill Sans MT" w:hAnsi="Gill Sans MT"/>
          <w:sz w:val="22"/>
          <w:szCs w:val="22"/>
        </w:rPr>
        <w:t>3</w:t>
      </w:r>
      <w:r w:rsidR="00177838">
        <w:rPr>
          <w:rFonts w:ascii="Gill Sans MT" w:hAnsi="Gill Sans MT"/>
          <w:sz w:val="22"/>
          <w:szCs w:val="22"/>
        </w:rPr>
        <w:t>0th</w:t>
      </w:r>
      <w:r w:rsidR="00982460">
        <w:rPr>
          <w:rFonts w:ascii="Gill Sans MT" w:hAnsi="Gill Sans MT"/>
          <w:sz w:val="22"/>
          <w:szCs w:val="22"/>
        </w:rPr>
        <w:t>, 20</w:t>
      </w:r>
      <w:r w:rsidR="00177838">
        <w:rPr>
          <w:rFonts w:ascii="Gill Sans MT" w:hAnsi="Gill Sans MT"/>
          <w:sz w:val="22"/>
          <w:szCs w:val="22"/>
        </w:rPr>
        <w:t>20</w:t>
      </w:r>
      <w:r w:rsidR="00EB77DB">
        <w:rPr>
          <w:rFonts w:ascii="Gill Sans MT" w:hAnsi="Gill Sans MT"/>
          <w:sz w:val="22"/>
          <w:szCs w:val="22"/>
        </w:rPr>
        <w:t>,</w:t>
      </w:r>
      <w:r w:rsidR="002F66B4">
        <w:rPr>
          <w:rFonts w:ascii="Gill Sans MT" w:hAnsi="Gill Sans MT"/>
          <w:sz w:val="22"/>
          <w:szCs w:val="22"/>
        </w:rPr>
        <w:t xml:space="preserve"> and implemented on</w:t>
      </w:r>
      <w:r w:rsidR="00EB77DB">
        <w:rPr>
          <w:rFonts w:ascii="Gill Sans MT" w:hAnsi="Gill Sans MT"/>
          <w:sz w:val="22"/>
          <w:szCs w:val="22"/>
        </w:rPr>
        <w:t xml:space="preserve"> May 1st, 2021</w:t>
      </w:r>
      <w:r w:rsidR="003F3ADD">
        <w:rPr>
          <w:rFonts w:ascii="Gill Sans MT" w:hAnsi="Gill Sans MT"/>
          <w:sz w:val="22"/>
          <w:szCs w:val="22"/>
        </w:rPr>
        <w:t xml:space="preserve">. </w:t>
      </w:r>
      <w:r w:rsidR="00C410BC">
        <w:rPr>
          <w:rFonts w:ascii="Gill Sans MT" w:hAnsi="Gill Sans MT"/>
          <w:sz w:val="22"/>
          <w:szCs w:val="22"/>
        </w:rPr>
        <w:t xml:space="preserve">The UK </w:t>
      </w:r>
      <w:r w:rsidR="002F66B4">
        <w:rPr>
          <w:rFonts w:ascii="Gill Sans MT" w:hAnsi="Gill Sans MT"/>
          <w:sz w:val="22"/>
          <w:szCs w:val="22"/>
        </w:rPr>
        <w:t>left</w:t>
      </w:r>
      <w:r w:rsidR="00C410BC">
        <w:rPr>
          <w:rFonts w:ascii="Gill Sans MT" w:hAnsi="Gill Sans MT"/>
          <w:sz w:val="22"/>
          <w:szCs w:val="22"/>
        </w:rPr>
        <w:t xml:space="preserve"> the EU on December 31st, 2020</w:t>
      </w:r>
      <w:r w:rsidR="00177838">
        <w:rPr>
          <w:rFonts w:ascii="Gill Sans MT" w:hAnsi="Gill Sans MT"/>
          <w:sz w:val="22"/>
          <w:szCs w:val="22"/>
        </w:rPr>
        <w:t>.</w:t>
      </w:r>
      <w:r w:rsidR="00AD0F64">
        <w:rPr>
          <w:rFonts w:ascii="Gill Sans MT" w:hAnsi="Gill Sans MT"/>
          <w:sz w:val="22"/>
          <w:szCs w:val="22"/>
        </w:rPr>
        <w:t xml:space="preserve"> </w:t>
      </w:r>
      <w:r w:rsidR="00790475">
        <w:rPr>
          <w:rFonts w:ascii="Gill Sans MT" w:hAnsi="Gill Sans MT"/>
          <w:sz w:val="22"/>
          <w:szCs w:val="22"/>
        </w:rPr>
        <w:t xml:space="preserve">The </w:t>
      </w:r>
      <w:r w:rsidR="008456EE">
        <w:rPr>
          <w:rFonts w:ascii="Gill Sans MT" w:hAnsi="Gill Sans MT"/>
          <w:sz w:val="22"/>
          <w:szCs w:val="22"/>
        </w:rPr>
        <w:t>UK prime minister</w:t>
      </w:r>
      <w:r w:rsidR="00A842AE">
        <w:rPr>
          <w:rFonts w:ascii="Gill Sans MT" w:hAnsi="Gill Sans MT"/>
          <w:sz w:val="22"/>
          <w:szCs w:val="22"/>
        </w:rPr>
        <w:t>,</w:t>
      </w:r>
      <w:r w:rsidR="008456EE">
        <w:rPr>
          <w:rFonts w:ascii="Gill Sans MT" w:hAnsi="Gill Sans MT"/>
          <w:sz w:val="22"/>
          <w:szCs w:val="22"/>
        </w:rPr>
        <w:t xml:space="preserve"> Boris Johnson</w:t>
      </w:r>
      <w:r w:rsidR="00A842AE">
        <w:rPr>
          <w:rFonts w:ascii="Gill Sans MT" w:hAnsi="Gill Sans MT"/>
          <w:sz w:val="22"/>
          <w:szCs w:val="22"/>
        </w:rPr>
        <w:t>,</w:t>
      </w:r>
      <w:r w:rsidR="008456EE">
        <w:rPr>
          <w:rFonts w:ascii="Gill Sans MT" w:hAnsi="Gill Sans MT"/>
          <w:sz w:val="22"/>
          <w:szCs w:val="22"/>
        </w:rPr>
        <w:t xml:space="preserve"> claimed: </w:t>
      </w:r>
      <w:r w:rsidR="005C62BA" w:rsidRPr="005C62BA">
        <w:rPr>
          <w:rFonts w:ascii="Gill Sans MT" w:hAnsi="Gill Sans MT"/>
          <w:sz w:val="22"/>
          <w:szCs w:val="22"/>
        </w:rPr>
        <w:t>"We have taken back control of our laws and our destiny."</w:t>
      </w:r>
      <w:r w:rsidR="00E95EC1">
        <w:rPr>
          <w:rFonts w:ascii="Gill Sans MT" w:hAnsi="Gill Sans MT"/>
          <w:color w:val="FF0000"/>
          <w:sz w:val="22"/>
          <w:szCs w:val="22"/>
        </w:rPr>
        <w:t xml:space="preserve"> </w:t>
      </w:r>
    </w:p>
    <w:p w14:paraId="5449C93F" w14:textId="30148F4A" w:rsidR="008D4B37" w:rsidRPr="00002AA4" w:rsidRDefault="008D4B37" w:rsidP="00002AA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right"/>
        <w:rPr>
          <w:rFonts w:ascii="Gill Sans MT" w:hAnsi="Gill Sans MT"/>
          <w:sz w:val="22"/>
          <w:szCs w:val="22"/>
        </w:rPr>
      </w:pPr>
      <w:r w:rsidRPr="00002AA4">
        <w:rPr>
          <w:rFonts w:ascii="Gill Sans MT" w:hAnsi="Gill Sans MT"/>
          <w:sz w:val="22"/>
          <w:szCs w:val="22"/>
        </w:rPr>
        <w:t xml:space="preserve">My word count for this section: </w:t>
      </w:r>
      <w:r w:rsidR="004075AF">
        <w:rPr>
          <w:rFonts w:ascii="Gill Sans MT" w:hAnsi="Gill Sans MT"/>
          <w:sz w:val="22"/>
          <w:szCs w:val="22"/>
        </w:rPr>
        <w:t>470</w:t>
      </w:r>
    </w:p>
    <w:p w14:paraId="5C05F08A" w14:textId="77777777" w:rsidR="002E7408" w:rsidRPr="00002AA4" w:rsidRDefault="002E7408" w:rsidP="002E7408">
      <w:pPr>
        <w:rPr>
          <w:rFonts w:ascii="Gill Sans MT" w:hAnsi="Gill Sans MT"/>
          <w:sz w:val="22"/>
          <w:szCs w:val="22"/>
        </w:rPr>
      </w:pPr>
    </w:p>
    <w:p w14:paraId="6AE9CF7F" w14:textId="26BD1714" w:rsidR="002E7408" w:rsidRPr="00002AA4" w:rsidRDefault="002E7408" w:rsidP="002E7408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Core references</w:t>
      </w:r>
    </w:p>
    <w:p w14:paraId="0E459508" w14:textId="77777777" w:rsidR="00E04123" w:rsidRDefault="00E04123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3218F3CA" w14:textId="1F56F2DB" w:rsidR="00832E88" w:rsidRDefault="00832E88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T Fetzer. (2019) “Did austerity cause Brexit?” </w:t>
      </w:r>
      <w:r>
        <w:rPr>
          <w:rFonts w:ascii="Gill Sans MT" w:hAnsi="Gill Sans MT"/>
          <w:i/>
          <w:iCs/>
          <w:sz w:val="22"/>
          <w:szCs w:val="22"/>
        </w:rPr>
        <w:t xml:space="preserve">American Economic Review </w:t>
      </w:r>
      <w:r>
        <w:rPr>
          <w:rFonts w:ascii="Gill Sans MT" w:hAnsi="Gill Sans MT"/>
          <w:sz w:val="22"/>
          <w:szCs w:val="22"/>
        </w:rPr>
        <w:t xml:space="preserve">Volume 109(11): </w:t>
      </w:r>
      <w:r w:rsidRPr="00990077">
        <w:rPr>
          <w:rFonts w:ascii="Gill Sans MT" w:hAnsi="Gill Sans MT"/>
          <w:sz w:val="22"/>
          <w:szCs w:val="22"/>
        </w:rPr>
        <w:t>2018</w:t>
      </w:r>
      <w:r>
        <w:rPr>
          <w:rFonts w:ascii="Gill Sans MT" w:hAnsi="Gill Sans MT"/>
          <w:sz w:val="22"/>
          <w:szCs w:val="22"/>
        </w:rPr>
        <w:t>-</w:t>
      </w:r>
      <w:r w:rsidRPr="00990077">
        <w:rPr>
          <w:rFonts w:ascii="Gill Sans MT" w:hAnsi="Gill Sans MT"/>
          <w:sz w:val="22"/>
          <w:szCs w:val="22"/>
        </w:rPr>
        <w:t>1164</w:t>
      </w:r>
      <w:r>
        <w:rPr>
          <w:rFonts w:ascii="Gill Sans MT" w:hAnsi="Gill Sans MT"/>
          <w:sz w:val="22"/>
          <w:szCs w:val="22"/>
        </w:rPr>
        <w:t xml:space="preserve"> [70</w:t>
      </w:r>
      <w:r w:rsidR="006C3C04">
        <w:rPr>
          <w:rFonts w:ascii="Gill Sans MT" w:hAnsi="Gill Sans MT"/>
          <w:sz w:val="22"/>
          <w:szCs w:val="22"/>
        </w:rPr>
        <w:t>5</w:t>
      </w:r>
      <w:r>
        <w:rPr>
          <w:rFonts w:ascii="Gill Sans MT" w:hAnsi="Gill Sans MT"/>
          <w:sz w:val="22"/>
          <w:szCs w:val="22"/>
        </w:rPr>
        <w:t xml:space="preserve"> citations]</w:t>
      </w:r>
    </w:p>
    <w:p w14:paraId="6D493688" w14:textId="77777777" w:rsidR="00832E88" w:rsidRDefault="00832E88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440FE018" w14:textId="3C60EBFC" w:rsidR="00EE4A98" w:rsidRDefault="00EE4A98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E McGrattan, A Waddle. (</w:t>
      </w:r>
      <w:r w:rsidR="00815B49">
        <w:rPr>
          <w:rFonts w:ascii="Gill Sans MT" w:hAnsi="Gill Sans MT"/>
          <w:sz w:val="22"/>
          <w:szCs w:val="22"/>
        </w:rPr>
        <w:t xml:space="preserve">2020) “The impact of Brexit on Foreign Investment and Production” </w:t>
      </w:r>
      <w:r w:rsidR="00815B49">
        <w:rPr>
          <w:rFonts w:ascii="Gill Sans MT" w:hAnsi="Gill Sans MT"/>
          <w:i/>
          <w:iCs/>
          <w:sz w:val="22"/>
          <w:szCs w:val="22"/>
        </w:rPr>
        <w:t xml:space="preserve">AEJ: Macroeconomics </w:t>
      </w:r>
      <w:r w:rsidR="00A26E06">
        <w:rPr>
          <w:rFonts w:ascii="Gill Sans MT" w:hAnsi="Gill Sans MT"/>
          <w:sz w:val="22"/>
          <w:szCs w:val="22"/>
        </w:rPr>
        <w:t>Volume 12(1):</w:t>
      </w:r>
      <w:r w:rsidR="00846866">
        <w:rPr>
          <w:rFonts w:ascii="Gill Sans MT" w:hAnsi="Gill Sans MT"/>
          <w:sz w:val="22"/>
          <w:szCs w:val="22"/>
        </w:rPr>
        <w:t xml:space="preserve"> 2017-0399 [</w:t>
      </w:r>
      <w:r w:rsidR="007B4763">
        <w:rPr>
          <w:rFonts w:ascii="Gill Sans MT" w:hAnsi="Gill Sans MT"/>
          <w:sz w:val="22"/>
          <w:szCs w:val="22"/>
        </w:rPr>
        <w:t>109</w:t>
      </w:r>
      <w:r w:rsidR="00846866">
        <w:rPr>
          <w:rFonts w:ascii="Gill Sans MT" w:hAnsi="Gill Sans MT"/>
          <w:sz w:val="22"/>
          <w:szCs w:val="22"/>
        </w:rPr>
        <w:t xml:space="preserve"> citations]</w:t>
      </w:r>
    </w:p>
    <w:p w14:paraId="0BDCEE8C" w14:textId="77777777" w:rsidR="006056DB" w:rsidRDefault="006056DB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77C0A199" w14:textId="4986DD98" w:rsidR="006056DB" w:rsidRDefault="006056DB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B Born, G </w:t>
      </w:r>
      <w:r w:rsidRPr="00B80D42">
        <w:rPr>
          <w:rFonts w:ascii="Gill Sans MT" w:hAnsi="Gill Sans MT"/>
          <w:sz w:val="22"/>
          <w:szCs w:val="22"/>
        </w:rPr>
        <w:t>M</w:t>
      </w:r>
      <w:r w:rsidR="00B80D42" w:rsidRPr="00B80D42">
        <w:rPr>
          <w:rFonts w:ascii="Gill Sans MT" w:hAnsi="Gill Sans MT"/>
          <w:sz w:val="22"/>
          <w:szCs w:val="22"/>
        </w:rPr>
        <w:t>ü</w:t>
      </w:r>
      <w:r w:rsidRPr="00B80D42">
        <w:rPr>
          <w:rFonts w:ascii="Gill Sans MT" w:hAnsi="Gill Sans MT"/>
          <w:sz w:val="22"/>
          <w:szCs w:val="22"/>
        </w:rPr>
        <w:t>ller</w:t>
      </w:r>
      <w:r w:rsidR="00D674EF">
        <w:rPr>
          <w:rFonts w:ascii="Gill Sans MT" w:hAnsi="Gill Sans MT"/>
          <w:sz w:val="22"/>
          <w:szCs w:val="22"/>
        </w:rPr>
        <w:t xml:space="preserve">, </w:t>
      </w:r>
      <w:r w:rsidR="00D674EF" w:rsidRPr="00D674EF">
        <w:rPr>
          <w:rFonts w:ascii="Gill Sans MT" w:hAnsi="Gill Sans MT"/>
          <w:sz w:val="22"/>
          <w:szCs w:val="22"/>
        </w:rPr>
        <w:t xml:space="preserve">Moritz </w:t>
      </w:r>
      <w:proofErr w:type="spellStart"/>
      <w:r w:rsidR="00D674EF" w:rsidRPr="00D674EF">
        <w:rPr>
          <w:rFonts w:ascii="Gill Sans MT" w:hAnsi="Gill Sans MT"/>
          <w:sz w:val="22"/>
          <w:szCs w:val="22"/>
        </w:rPr>
        <w:t>Schularick</w:t>
      </w:r>
      <w:proofErr w:type="spellEnd"/>
      <w:r w:rsidR="00D674EF" w:rsidRPr="00D674EF">
        <w:rPr>
          <w:rFonts w:ascii="Gill Sans MT" w:hAnsi="Gill Sans MT"/>
          <w:sz w:val="22"/>
          <w:szCs w:val="22"/>
        </w:rPr>
        <w:t>, Petr Sedláček</w:t>
      </w:r>
      <w:r w:rsidR="00D674EF">
        <w:rPr>
          <w:rFonts w:ascii="Gill Sans MT" w:hAnsi="Gill Sans MT"/>
          <w:sz w:val="22"/>
          <w:szCs w:val="22"/>
        </w:rPr>
        <w:t>.</w:t>
      </w:r>
      <w:r w:rsidR="00B80D42">
        <w:rPr>
          <w:rFonts w:ascii="Gill Sans MT" w:hAnsi="Gill Sans MT"/>
          <w:sz w:val="22"/>
          <w:szCs w:val="22"/>
        </w:rPr>
        <w:t xml:space="preserve"> (2019) “The Costs of Economic Nationalism: Evidence from the Brexit Experiment</w:t>
      </w:r>
      <w:r w:rsidR="001A4F9F">
        <w:rPr>
          <w:rFonts w:ascii="Gill Sans MT" w:hAnsi="Gill Sans MT"/>
          <w:sz w:val="22"/>
          <w:szCs w:val="22"/>
        </w:rPr>
        <w:t xml:space="preserve">” </w:t>
      </w:r>
      <w:r w:rsidR="001A4F9F">
        <w:rPr>
          <w:rFonts w:ascii="Gill Sans MT" w:hAnsi="Gill Sans MT"/>
          <w:i/>
          <w:iCs/>
          <w:sz w:val="22"/>
          <w:szCs w:val="22"/>
        </w:rPr>
        <w:t xml:space="preserve">The Economic Journal </w:t>
      </w:r>
      <w:r w:rsidR="00D674EF">
        <w:rPr>
          <w:rFonts w:ascii="Gill Sans MT" w:hAnsi="Gill Sans MT"/>
          <w:sz w:val="22"/>
          <w:szCs w:val="22"/>
        </w:rPr>
        <w:t>Volume 129(623)</w:t>
      </w:r>
      <w:r w:rsidR="00F34E98">
        <w:rPr>
          <w:rFonts w:ascii="Gill Sans MT" w:hAnsi="Gill Sans MT"/>
          <w:sz w:val="22"/>
          <w:szCs w:val="22"/>
        </w:rPr>
        <w:t xml:space="preserve">: </w:t>
      </w:r>
      <w:r w:rsidR="00F34E98" w:rsidRPr="00F34E98">
        <w:rPr>
          <w:rFonts w:ascii="Gill Sans MT" w:hAnsi="Gill Sans MT"/>
          <w:sz w:val="22"/>
          <w:szCs w:val="22"/>
        </w:rPr>
        <w:t>0013-0133</w:t>
      </w:r>
      <w:r w:rsidR="00F34E98">
        <w:rPr>
          <w:rFonts w:ascii="Gill Sans MT" w:hAnsi="Gill Sans MT"/>
          <w:sz w:val="22"/>
          <w:szCs w:val="22"/>
        </w:rPr>
        <w:t xml:space="preserve"> [28</w:t>
      </w:r>
      <w:r w:rsidR="007B4763">
        <w:rPr>
          <w:rFonts w:ascii="Gill Sans MT" w:hAnsi="Gill Sans MT"/>
          <w:sz w:val="22"/>
          <w:szCs w:val="22"/>
        </w:rPr>
        <w:t>7</w:t>
      </w:r>
      <w:r w:rsidR="00F34E98">
        <w:rPr>
          <w:rFonts w:ascii="Gill Sans MT" w:hAnsi="Gill Sans MT"/>
          <w:sz w:val="22"/>
          <w:szCs w:val="22"/>
        </w:rPr>
        <w:t xml:space="preserve"> citations]</w:t>
      </w:r>
    </w:p>
    <w:p w14:paraId="73EE09A3" w14:textId="77777777" w:rsidR="00F34E98" w:rsidRDefault="00F34E98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7BDB6DBD" w14:textId="717441CA" w:rsidR="00F34E98" w:rsidRDefault="007E12C9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J Steinberg. (2019) “Brexit and the macroeconomic impact of trade policy uncertainty” </w:t>
      </w:r>
      <w:r>
        <w:rPr>
          <w:rFonts w:ascii="Gill Sans MT" w:hAnsi="Gill Sans MT"/>
          <w:i/>
          <w:iCs/>
          <w:sz w:val="22"/>
          <w:szCs w:val="22"/>
        </w:rPr>
        <w:t xml:space="preserve">Journal of International Economics </w:t>
      </w:r>
      <w:r w:rsidR="00AE7515">
        <w:rPr>
          <w:rFonts w:ascii="Gill Sans MT" w:hAnsi="Gill Sans MT"/>
          <w:sz w:val="22"/>
          <w:szCs w:val="22"/>
        </w:rPr>
        <w:t xml:space="preserve">Volume 117: </w:t>
      </w:r>
      <w:r w:rsidR="00A0559E" w:rsidRPr="00A0559E">
        <w:rPr>
          <w:rFonts w:ascii="Gill Sans MT" w:hAnsi="Gill Sans MT"/>
          <w:sz w:val="22"/>
          <w:szCs w:val="22"/>
        </w:rPr>
        <w:t>0022-1996</w:t>
      </w:r>
      <w:r w:rsidR="00A0559E">
        <w:rPr>
          <w:rFonts w:ascii="Gill Sans MT" w:hAnsi="Gill Sans MT"/>
          <w:sz w:val="22"/>
          <w:szCs w:val="22"/>
        </w:rPr>
        <w:t xml:space="preserve"> [22</w:t>
      </w:r>
      <w:r w:rsidR="007B4763">
        <w:rPr>
          <w:rFonts w:ascii="Gill Sans MT" w:hAnsi="Gill Sans MT"/>
          <w:sz w:val="22"/>
          <w:szCs w:val="22"/>
        </w:rPr>
        <w:t>3</w:t>
      </w:r>
      <w:r w:rsidR="00A0559E">
        <w:rPr>
          <w:rFonts w:ascii="Gill Sans MT" w:hAnsi="Gill Sans MT"/>
          <w:sz w:val="22"/>
          <w:szCs w:val="22"/>
        </w:rPr>
        <w:t xml:space="preserve"> citations]</w:t>
      </w:r>
    </w:p>
    <w:p w14:paraId="0C077F9A" w14:textId="77777777" w:rsidR="00A0559E" w:rsidRDefault="00A0559E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300E4E75" w14:textId="188AA93C" w:rsidR="00CB4CAC" w:rsidRDefault="00CC596F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CC596F">
        <w:rPr>
          <w:rFonts w:ascii="Gill Sans MT" w:hAnsi="Gill Sans MT"/>
          <w:sz w:val="22"/>
          <w:szCs w:val="22"/>
        </w:rPr>
        <w:t xml:space="preserve">B Broadbent, F Di Pace, T Drechsel, R Harrison, S </w:t>
      </w:r>
      <w:proofErr w:type="spellStart"/>
      <w:r w:rsidRPr="00CC596F">
        <w:rPr>
          <w:rFonts w:ascii="Gill Sans MT" w:hAnsi="Gill Sans MT"/>
          <w:sz w:val="22"/>
          <w:szCs w:val="22"/>
        </w:rPr>
        <w:t>Tenreyro</w:t>
      </w:r>
      <w:proofErr w:type="spellEnd"/>
      <w:r>
        <w:rPr>
          <w:rFonts w:ascii="Gill Sans MT" w:hAnsi="Gill Sans MT"/>
          <w:sz w:val="22"/>
          <w:szCs w:val="22"/>
        </w:rPr>
        <w:t>. (</w:t>
      </w:r>
      <w:r w:rsidR="0011312D">
        <w:rPr>
          <w:rFonts w:ascii="Gill Sans MT" w:hAnsi="Gill Sans MT"/>
          <w:sz w:val="22"/>
          <w:szCs w:val="22"/>
        </w:rPr>
        <w:t xml:space="preserve">2024) “The Brexit Vote, Productivity Growth, and Macroeconomic Adjustments in the U.K.” </w:t>
      </w:r>
      <w:r w:rsidR="0011312D">
        <w:rPr>
          <w:rFonts w:ascii="Gill Sans MT" w:hAnsi="Gill Sans MT"/>
          <w:i/>
          <w:iCs/>
          <w:sz w:val="22"/>
          <w:szCs w:val="22"/>
        </w:rPr>
        <w:t xml:space="preserve">The Review of Economic Studies </w:t>
      </w:r>
      <w:r w:rsidR="008F2BE8">
        <w:rPr>
          <w:rFonts w:ascii="Gill Sans MT" w:hAnsi="Gill Sans MT"/>
          <w:sz w:val="22"/>
          <w:szCs w:val="22"/>
        </w:rPr>
        <w:t xml:space="preserve">Volume 91(4): </w:t>
      </w:r>
      <w:r w:rsidR="00C7423F" w:rsidRPr="00C7423F">
        <w:rPr>
          <w:rFonts w:ascii="Gill Sans MT" w:hAnsi="Gill Sans MT"/>
          <w:sz w:val="22"/>
          <w:szCs w:val="22"/>
        </w:rPr>
        <w:t>0034-6527</w:t>
      </w:r>
      <w:r w:rsidR="00C7423F">
        <w:rPr>
          <w:rFonts w:ascii="Gill Sans MT" w:hAnsi="Gill Sans MT"/>
          <w:sz w:val="22"/>
          <w:szCs w:val="22"/>
        </w:rPr>
        <w:t xml:space="preserve"> [</w:t>
      </w:r>
      <w:r w:rsidR="008F66F8">
        <w:rPr>
          <w:rFonts w:ascii="Gill Sans MT" w:hAnsi="Gill Sans MT"/>
          <w:sz w:val="22"/>
          <w:szCs w:val="22"/>
        </w:rPr>
        <w:t>34 citations]</w:t>
      </w:r>
    </w:p>
    <w:p w14:paraId="416A242F" w14:textId="77777777" w:rsidR="00E04123" w:rsidRPr="00002AA4" w:rsidRDefault="00E04123" w:rsidP="002E74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79F1000F" w14:textId="77777777" w:rsidR="002E7408" w:rsidRPr="00002AA4" w:rsidRDefault="002E7408" w:rsidP="002E7408">
      <w:pPr>
        <w:rPr>
          <w:rFonts w:ascii="Gill Sans MT" w:hAnsi="Gill Sans MT"/>
          <w:sz w:val="22"/>
          <w:szCs w:val="22"/>
        </w:rPr>
      </w:pPr>
    </w:p>
    <w:p w14:paraId="4A14C297" w14:textId="0FF1C7E8" w:rsidR="00C00CED" w:rsidRPr="00002AA4" w:rsidRDefault="00C00CED" w:rsidP="00C00CED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Existing Literature</w:t>
      </w:r>
    </w:p>
    <w:p w14:paraId="52BAC232" w14:textId="77777777" w:rsidR="00E04123" w:rsidRDefault="00E04123" w:rsidP="002261E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sz w:val="22"/>
          <w:szCs w:val="22"/>
        </w:rPr>
      </w:pPr>
    </w:p>
    <w:p w14:paraId="2C5423E0" w14:textId="69E008B4" w:rsidR="00454606" w:rsidRDefault="00CD091D" w:rsidP="002261E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>Why did Brexit happen?</w:t>
      </w:r>
    </w:p>
    <w:p w14:paraId="5A3D4D85" w14:textId="0778F9C1" w:rsidR="00E9308D" w:rsidRDefault="001F21DF" w:rsidP="000A585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R</w:t>
      </w:r>
      <w:r w:rsidR="00A503C0">
        <w:rPr>
          <w:rFonts w:ascii="Gill Sans MT" w:hAnsi="Gill Sans MT"/>
          <w:sz w:val="22"/>
          <w:szCs w:val="22"/>
        </w:rPr>
        <w:t xml:space="preserve">esearch </w:t>
      </w:r>
      <w:r w:rsidR="000E3DFC">
        <w:rPr>
          <w:rFonts w:ascii="Gill Sans MT" w:hAnsi="Gill Sans MT"/>
          <w:sz w:val="22"/>
          <w:szCs w:val="22"/>
        </w:rPr>
        <w:t>about the demographic breakdown of the Brexit vote</w:t>
      </w:r>
      <w:r>
        <w:rPr>
          <w:rFonts w:ascii="Gill Sans MT" w:hAnsi="Gill Sans MT"/>
          <w:sz w:val="22"/>
          <w:szCs w:val="22"/>
        </w:rPr>
        <w:t>r</w:t>
      </w:r>
      <w:r w:rsidR="000E3DFC">
        <w:rPr>
          <w:rFonts w:ascii="Gill Sans MT" w:hAnsi="Gill Sans MT"/>
          <w:sz w:val="22"/>
          <w:szCs w:val="22"/>
        </w:rPr>
        <w:t xml:space="preserve"> (</w:t>
      </w:r>
      <w:r w:rsidR="006C443F">
        <w:rPr>
          <w:rFonts w:ascii="Gill Sans MT" w:hAnsi="Gill Sans MT"/>
          <w:sz w:val="22"/>
          <w:szCs w:val="22"/>
        </w:rPr>
        <w:t>Becker</w:t>
      </w:r>
      <w:r w:rsidR="000E3DFC">
        <w:rPr>
          <w:rFonts w:ascii="Gill Sans MT" w:hAnsi="Gill Sans MT"/>
          <w:sz w:val="22"/>
          <w:szCs w:val="22"/>
        </w:rPr>
        <w:t>,</w:t>
      </w:r>
      <w:r w:rsidR="006C443F">
        <w:rPr>
          <w:rFonts w:ascii="Gill Sans MT" w:hAnsi="Gill Sans MT"/>
          <w:sz w:val="22"/>
          <w:szCs w:val="22"/>
        </w:rPr>
        <w:t xml:space="preserve"> et al</w:t>
      </w:r>
      <w:r w:rsidR="000E3DFC">
        <w:rPr>
          <w:rFonts w:ascii="Gill Sans MT" w:hAnsi="Gill Sans MT"/>
          <w:sz w:val="22"/>
          <w:szCs w:val="22"/>
        </w:rPr>
        <w:t>.</w:t>
      </w:r>
      <w:r w:rsidR="000A585C">
        <w:rPr>
          <w:rFonts w:ascii="Gill Sans MT" w:hAnsi="Gill Sans MT"/>
          <w:sz w:val="22"/>
          <w:szCs w:val="22"/>
        </w:rPr>
        <w:t xml:space="preserve"> 2017) f</w:t>
      </w:r>
      <w:r w:rsidR="008E52D2">
        <w:rPr>
          <w:rFonts w:ascii="Gill Sans MT" w:hAnsi="Gill Sans MT"/>
          <w:sz w:val="22"/>
          <w:szCs w:val="22"/>
        </w:rPr>
        <w:t>inds</w:t>
      </w:r>
      <w:r w:rsidR="000A585C">
        <w:rPr>
          <w:rFonts w:ascii="Gill Sans MT" w:hAnsi="Gill Sans MT"/>
          <w:sz w:val="22"/>
          <w:szCs w:val="22"/>
        </w:rPr>
        <w:t xml:space="preserve"> that</w:t>
      </w:r>
      <w:r w:rsidR="00AD6206">
        <w:rPr>
          <w:rFonts w:ascii="Gill Sans MT" w:hAnsi="Gill Sans MT"/>
          <w:sz w:val="22"/>
          <w:szCs w:val="22"/>
        </w:rPr>
        <w:t xml:space="preserve"> </w:t>
      </w:r>
      <w:r w:rsidR="00A40401">
        <w:rPr>
          <w:rFonts w:ascii="Gill Sans MT" w:hAnsi="Gill Sans MT"/>
          <w:sz w:val="22"/>
          <w:szCs w:val="22"/>
        </w:rPr>
        <w:t xml:space="preserve">areas with ‘low income, high unemployment and a historical dependence on manufacturing employment’ were </w:t>
      </w:r>
      <w:r w:rsidR="00E85097">
        <w:rPr>
          <w:rFonts w:ascii="Gill Sans MT" w:hAnsi="Gill Sans MT"/>
          <w:sz w:val="22"/>
          <w:szCs w:val="22"/>
        </w:rPr>
        <w:t>more likely to vote Leave</w:t>
      </w:r>
      <w:r w:rsidR="00722023">
        <w:rPr>
          <w:rFonts w:ascii="Gill Sans MT" w:hAnsi="Gill Sans MT"/>
          <w:sz w:val="22"/>
          <w:szCs w:val="22"/>
        </w:rPr>
        <w:t>.</w:t>
      </w:r>
      <w:r w:rsidR="00E85097">
        <w:rPr>
          <w:rFonts w:ascii="Gill Sans MT" w:hAnsi="Gill Sans MT"/>
          <w:sz w:val="22"/>
          <w:szCs w:val="22"/>
        </w:rPr>
        <w:t xml:space="preserve"> </w:t>
      </w:r>
    </w:p>
    <w:p w14:paraId="70DF0D4A" w14:textId="35EDDB4E" w:rsidR="00AA03FE" w:rsidRDefault="0007141C" w:rsidP="000A585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Other research</w:t>
      </w:r>
      <w:r w:rsidR="00842C0D">
        <w:rPr>
          <w:rFonts w:ascii="Gill Sans MT" w:hAnsi="Gill Sans MT"/>
          <w:sz w:val="22"/>
          <w:szCs w:val="22"/>
        </w:rPr>
        <w:t xml:space="preserve"> (</w:t>
      </w:r>
      <w:r w:rsidR="00AA03FE">
        <w:rPr>
          <w:rFonts w:ascii="Gill Sans MT" w:hAnsi="Gill Sans MT"/>
          <w:sz w:val="22"/>
          <w:szCs w:val="22"/>
        </w:rPr>
        <w:t xml:space="preserve">Fetzer 2019) </w:t>
      </w:r>
      <w:r w:rsidR="00680064">
        <w:rPr>
          <w:rFonts w:ascii="Gill Sans MT" w:hAnsi="Gill Sans MT"/>
          <w:sz w:val="22"/>
          <w:szCs w:val="22"/>
        </w:rPr>
        <w:t>correlate</w:t>
      </w:r>
      <w:r>
        <w:rPr>
          <w:rFonts w:ascii="Gill Sans MT" w:hAnsi="Gill Sans MT"/>
          <w:sz w:val="22"/>
          <w:szCs w:val="22"/>
        </w:rPr>
        <w:t>s</w:t>
      </w:r>
      <w:r w:rsidR="00AA03FE">
        <w:rPr>
          <w:rFonts w:ascii="Gill Sans MT" w:hAnsi="Gill Sans MT"/>
          <w:sz w:val="22"/>
          <w:szCs w:val="22"/>
        </w:rPr>
        <w:t xml:space="preserve"> </w:t>
      </w:r>
      <w:r w:rsidR="006A657B">
        <w:rPr>
          <w:rFonts w:ascii="Gill Sans MT" w:hAnsi="Gill Sans MT"/>
          <w:sz w:val="22"/>
          <w:szCs w:val="22"/>
        </w:rPr>
        <w:t>post-2008</w:t>
      </w:r>
      <w:r w:rsidR="00670869">
        <w:rPr>
          <w:rFonts w:ascii="Gill Sans MT" w:hAnsi="Gill Sans MT"/>
          <w:sz w:val="22"/>
          <w:szCs w:val="22"/>
        </w:rPr>
        <w:t xml:space="preserve"> </w:t>
      </w:r>
      <w:r w:rsidR="00680064">
        <w:rPr>
          <w:rFonts w:ascii="Gill Sans MT" w:hAnsi="Gill Sans MT"/>
          <w:sz w:val="22"/>
          <w:szCs w:val="22"/>
        </w:rPr>
        <w:t>a</w:t>
      </w:r>
      <w:r w:rsidR="00986DB7">
        <w:rPr>
          <w:rFonts w:ascii="Gill Sans MT" w:hAnsi="Gill Sans MT"/>
          <w:sz w:val="22"/>
          <w:szCs w:val="22"/>
        </w:rPr>
        <w:t>usterity</w:t>
      </w:r>
      <w:r w:rsidR="00680064">
        <w:rPr>
          <w:rFonts w:ascii="Gill Sans MT" w:hAnsi="Gill Sans MT"/>
          <w:sz w:val="22"/>
          <w:szCs w:val="22"/>
        </w:rPr>
        <w:t xml:space="preserve"> </w:t>
      </w:r>
      <w:r w:rsidR="006A657B">
        <w:rPr>
          <w:rFonts w:ascii="Gill Sans MT" w:hAnsi="Gill Sans MT"/>
          <w:sz w:val="22"/>
          <w:szCs w:val="22"/>
        </w:rPr>
        <w:t xml:space="preserve">policies </w:t>
      </w:r>
      <w:r w:rsidR="009E7031">
        <w:rPr>
          <w:rFonts w:ascii="Gill Sans MT" w:hAnsi="Gill Sans MT"/>
          <w:sz w:val="22"/>
          <w:szCs w:val="22"/>
        </w:rPr>
        <w:t>with support for the UK Independence Party (UKIP)</w:t>
      </w:r>
      <w:r w:rsidR="001C4BF4">
        <w:rPr>
          <w:rFonts w:ascii="Gill Sans MT" w:hAnsi="Gill Sans MT"/>
          <w:sz w:val="22"/>
          <w:szCs w:val="22"/>
        </w:rPr>
        <w:t xml:space="preserve">, which is used as </w:t>
      </w:r>
      <w:r w:rsidR="00322B4A">
        <w:rPr>
          <w:rFonts w:ascii="Gill Sans MT" w:hAnsi="Gill Sans MT"/>
          <w:sz w:val="22"/>
          <w:szCs w:val="22"/>
        </w:rPr>
        <w:t xml:space="preserve">a proxy for </w:t>
      </w:r>
      <w:r w:rsidR="00AF3413">
        <w:rPr>
          <w:rFonts w:ascii="Gill Sans MT" w:hAnsi="Gill Sans MT"/>
          <w:sz w:val="22"/>
          <w:szCs w:val="22"/>
        </w:rPr>
        <w:t>“Leave sentiment.”</w:t>
      </w:r>
    </w:p>
    <w:p w14:paraId="015FBEC8" w14:textId="77777777" w:rsidR="003829DC" w:rsidRPr="00E9308D" w:rsidRDefault="003829DC" w:rsidP="000A585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7B4D4384" w14:textId="6AC9AAB2" w:rsidR="00ED1146" w:rsidRPr="002261E0" w:rsidRDefault="0011350D" w:rsidP="002261E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>Pre-TCA literatur</w:t>
      </w:r>
      <w:r w:rsidR="002261E0">
        <w:rPr>
          <w:rFonts w:ascii="Gill Sans MT" w:hAnsi="Gill Sans MT"/>
          <w:b/>
          <w:bCs/>
          <w:sz w:val="22"/>
          <w:szCs w:val="22"/>
        </w:rPr>
        <w:t>e</w:t>
      </w:r>
    </w:p>
    <w:p w14:paraId="5ED4F2F3" w14:textId="660D22A9" w:rsidR="001D55D8" w:rsidRDefault="002E1FA8" w:rsidP="0095013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ab/>
      </w:r>
      <w:r w:rsidR="001C4BF4">
        <w:rPr>
          <w:rFonts w:ascii="Gill Sans MT" w:hAnsi="Gill Sans MT"/>
          <w:sz w:val="22"/>
          <w:szCs w:val="22"/>
        </w:rPr>
        <w:t>T</w:t>
      </w:r>
      <w:r w:rsidR="006A657B">
        <w:rPr>
          <w:rFonts w:ascii="Gill Sans MT" w:hAnsi="Gill Sans MT"/>
          <w:sz w:val="22"/>
          <w:szCs w:val="22"/>
        </w:rPr>
        <w:t xml:space="preserve">he 3 </w:t>
      </w:r>
      <w:r w:rsidR="00C84277">
        <w:rPr>
          <w:rFonts w:ascii="Gill Sans MT" w:hAnsi="Gill Sans MT"/>
          <w:sz w:val="22"/>
          <w:szCs w:val="22"/>
        </w:rPr>
        <w:t>potential</w:t>
      </w:r>
      <w:r w:rsidR="006A657B">
        <w:rPr>
          <w:rFonts w:ascii="Gill Sans MT" w:hAnsi="Gill Sans MT"/>
          <w:sz w:val="22"/>
          <w:szCs w:val="22"/>
        </w:rPr>
        <w:t xml:space="preserve"> </w:t>
      </w:r>
      <w:r w:rsidR="001C4BF4">
        <w:rPr>
          <w:rFonts w:ascii="Gill Sans MT" w:hAnsi="Gill Sans MT"/>
          <w:sz w:val="22"/>
          <w:szCs w:val="22"/>
        </w:rPr>
        <w:t>deals</w:t>
      </w:r>
      <w:r w:rsidR="006A657B">
        <w:rPr>
          <w:rFonts w:ascii="Gill Sans MT" w:hAnsi="Gill Sans MT"/>
          <w:sz w:val="22"/>
          <w:szCs w:val="22"/>
        </w:rPr>
        <w:t>:</w:t>
      </w:r>
      <w:r w:rsidR="00EB69CD">
        <w:rPr>
          <w:rFonts w:ascii="Gill Sans MT" w:hAnsi="Gill Sans MT"/>
          <w:sz w:val="22"/>
          <w:szCs w:val="22"/>
        </w:rPr>
        <w:t xml:space="preserve"> soft, hard, bilateral partnership</w:t>
      </w:r>
      <w:r w:rsidR="00957158">
        <w:rPr>
          <w:rFonts w:ascii="Gill Sans MT" w:hAnsi="Gill Sans MT"/>
          <w:sz w:val="22"/>
          <w:szCs w:val="22"/>
        </w:rPr>
        <w:t xml:space="preserve">, </w:t>
      </w:r>
      <w:r w:rsidR="001C4BF4">
        <w:rPr>
          <w:rFonts w:ascii="Gill Sans MT" w:hAnsi="Gill Sans MT"/>
          <w:sz w:val="22"/>
          <w:szCs w:val="22"/>
        </w:rPr>
        <w:t xml:space="preserve">are </w:t>
      </w:r>
      <w:r w:rsidR="00957158">
        <w:rPr>
          <w:rFonts w:ascii="Gill Sans MT" w:hAnsi="Gill Sans MT"/>
          <w:sz w:val="22"/>
          <w:szCs w:val="22"/>
        </w:rPr>
        <w:t>explained in detail by Sampson (2017)</w:t>
      </w:r>
      <w:r w:rsidR="00CE759C">
        <w:rPr>
          <w:rFonts w:ascii="Gill Sans MT" w:hAnsi="Gill Sans MT"/>
          <w:sz w:val="22"/>
          <w:szCs w:val="22"/>
        </w:rPr>
        <w:t>.</w:t>
      </w:r>
      <w:r w:rsidR="00610DDE">
        <w:rPr>
          <w:rFonts w:ascii="Gill Sans MT" w:hAnsi="Gill Sans MT"/>
          <w:sz w:val="22"/>
          <w:szCs w:val="22"/>
        </w:rPr>
        <w:t xml:space="preserve"> </w:t>
      </w:r>
      <w:r w:rsidR="00A520B2">
        <w:rPr>
          <w:rFonts w:ascii="Gill Sans MT" w:hAnsi="Gill Sans MT"/>
          <w:sz w:val="22"/>
          <w:szCs w:val="22"/>
        </w:rPr>
        <w:t>Pre-TCA papers</w:t>
      </w:r>
      <w:r w:rsidR="008F7C75">
        <w:rPr>
          <w:rFonts w:ascii="Gill Sans MT" w:hAnsi="Gill Sans MT"/>
          <w:sz w:val="22"/>
          <w:szCs w:val="22"/>
        </w:rPr>
        <w:t xml:space="preserve"> </w:t>
      </w:r>
      <w:r w:rsidR="004139DE">
        <w:rPr>
          <w:rFonts w:ascii="Gill Sans MT" w:hAnsi="Gill Sans MT"/>
          <w:sz w:val="22"/>
          <w:szCs w:val="22"/>
        </w:rPr>
        <w:t>often</w:t>
      </w:r>
      <w:r w:rsidR="00F309AA">
        <w:rPr>
          <w:rFonts w:ascii="Gill Sans MT" w:hAnsi="Gill Sans MT"/>
          <w:sz w:val="22"/>
          <w:szCs w:val="22"/>
        </w:rPr>
        <w:t xml:space="preserve"> </w:t>
      </w:r>
      <w:r w:rsidR="00AE5EC3">
        <w:rPr>
          <w:rFonts w:ascii="Gill Sans MT" w:hAnsi="Gill Sans MT"/>
          <w:sz w:val="22"/>
          <w:szCs w:val="22"/>
        </w:rPr>
        <w:t xml:space="preserve">use general equilibrium models </w:t>
      </w:r>
      <w:r w:rsidR="00950132">
        <w:rPr>
          <w:rFonts w:ascii="Gill Sans MT" w:hAnsi="Gill Sans MT"/>
          <w:sz w:val="22"/>
          <w:szCs w:val="22"/>
        </w:rPr>
        <w:t xml:space="preserve">(GEM) </w:t>
      </w:r>
      <w:r w:rsidR="00AE5EC3">
        <w:rPr>
          <w:rFonts w:ascii="Gill Sans MT" w:hAnsi="Gill Sans MT"/>
          <w:sz w:val="22"/>
          <w:szCs w:val="22"/>
        </w:rPr>
        <w:t xml:space="preserve">to </w:t>
      </w:r>
      <w:r w:rsidR="003C3E41">
        <w:rPr>
          <w:rFonts w:ascii="Gill Sans MT" w:hAnsi="Gill Sans MT"/>
          <w:sz w:val="22"/>
          <w:szCs w:val="22"/>
        </w:rPr>
        <w:t>compare</w:t>
      </w:r>
      <w:r w:rsidR="00F309AA">
        <w:rPr>
          <w:rFonts w:ascii="Gill Sans MT" w:hAnsi="Gill Sans MT"/>
          <w:sz w:val="22"/>
          <w:szCs w:val="22"/>
        </w:rPr>
        <w:t xml:space="preserve"> the effect</w:t>
      </w:r>
      <w:r w:rsidR="003C3E41">
        <w:rPr>
          <w:rFonts w:ascii="Gill Sans MT" w:hAnsi="Gill Sans MT"/>
          <w:sz w:val="22"/>
          <w:szCs w:val="22"/>
        </w:rPr>
        <w:t>s</w:t>
      </w:r>
      <w:r w:rsidR="00F309AA">
        <w:rPr>
          <w:rFonts w:ascii="Gill Sans MT" w:hAnsi="Gill Sans MT"/>
          <w:sz w:val="22"/>
          <w:szCs w:val="22"/>
        </w:rPr>
        <w:t xml:space="preserve"> of </w:t>
      </w:r>
      <w:r w:rsidR="00EB69CD">
        <w:rPr>
          <w:rFonts w:ascii="Gill Sans MT" w:hAnsi="Gill Sans MT"/>
          <w:sz w:val="22"/>
          <w:szCs w:val="22"/>
        </w:rPr>
        <w:t>these</w:t>
      </w:r>
      <w:r w:rsidR="0038208B">
        <w:rPr>
          <w:rFonts w:ascii="Gill Sans MT" w:hAnsi="Gill Sans MT"/>
          <w:sz w:val="22"/>
          <w:szCs w:val="22"/>
        </w:rPr>
        <w:t xml:space="preserve"> </w:t>
      </w:r>
      <w:r w:rsidR="00C84277">
        <w:rPr>
          <w:rFonts w:ascii="Gill Sans MT" w:hAnsi="Gill Sans MT"/>
          <w:sz w:val="22"/>
          <w:szCs w:val="22"/>
        </w:rPr>
        <w:t xml:space="preserve">3 </w:t>
      </w:r>
      <w:r w:rsidR="004139DE">
        <w:rPr>
          <w:rFonts w:ascii="Gill Sans MT" w:hAnsi="Gill Sans MT"/>
          <w:sz w:val="22"/>
          <w:szCs w:val="22"/>
        </w:rPr>
        <w:t>scenarios</w:t>
      </w:r>
      <w:r w:rsidR="00C503EF">
        <w:rPr>
          <w:rFonts w:ascii="Gill Sans MT" w:hAnsi="Gill Sans MT"/>
          <w:sz w:val="22"/>
          <w:szCs w:val="22"/>
        </w:rPr>
        <w:t xml:space="preserve"> </w:t>
      </w:r>
      <w:r w:rsidR="00815E06">
        <w:rPr>
          <w:rFonts w:ascii="Gill Sans MT" w:hAnsi="Gill Sans MT"/>
          <w:sz w:val="22"/>
          <w:szCs w:val="22"/>
        </w:rPr>
        <w:t xml:space="preserve">to create </w:t>
      </w:r>
      <w:r w:rsidR="00BF13CD">
        <w:rPr>
          <w:rFonts w:ascii="Gill Sans MT" w:hAnsi="Gill Sans MT"/>
          <w:sz w:val="22"/>
          <w:szCs w:val="22"/>
        </w:rPr>
        <w:t>a</w:t>
      </w:r>
      <w:r w:rsidR="00815E06">
        <w:rPr>
          <w:rFonts w:ascii="Gill Sans MT" w:hAnsi="Gill Sans MT"/>
          <w:sz w:val="22"/>
          <w:szCs w:val="22"/>
        </w:rPr>
        <w:t xml:space="preserve"> spread of the estimated welfare </w:t>
      </w:r>
      <w:r w:rsidR="00EB69CD">
        <w:rPr>
          <w:rFonts w:ascii="Gill Sans MT" w:hAnsi="Gill Sans MT"/>
          <w:sz w:val="22"/>
          <w:szCs w:val="22"/>
        </w:rPr>
        <w:t>changes</w:t>
      </w:r>
      <w:r w:rsidR="0092408E">
        <w:rPr>
          <w:rFonts w:ascii="Gill Sans MT" w:hAnsi="Gill Sans MT"/>
          <w:sz w:val="22"/>
          <w:szCs w:val="22"/>
        </w:rPr>
        <w:t>.</w:t>
      </w:r>
      <w:r w:rsidR="001D55D8">
        <w:rPr>
          <w:rFonts w:ascii="Gill Sans MT" w:hAnsi="Gill Sans MT"/>
          <w:sz w:val="22"/>
          <w:szCs w:val="22"/>
        </w:rPr>
        <w:t xml:space="preserve"> GE</w:t>
      </w:r>
      <w:r w:rsidR="00AE5EC3">
        <w:rPr>
          <w:rFonts w:ascii="Gill Sans MT" w:hAnsi="Gill Sans MT"/>
          <w:sz w:val="22"/>
          <w:szCs w:val="22"/>
        </w:rPr>
        <w:t xml:space="preserve">Ms </w:t>
      </w:r>
      <w:r w:rsidR="008E53BC">
        <w:rPr>
          <w:rFonts w:ascii="Gill Sans MT" w:hAnsi="Gill Sans MT"/>
          <w:sz w:val="22"/>
          <w:szCs w:val="22"/>
        </w:rPr>
        <w:t>rely on accurate</w:t>
      </w:r>
      <w:r w:rsidR="001D55D8">
        <w:rPr>
          <w:rFonts w:ascii="Gill Sans MT" w:hAnsi="Gill Sans MT"/>
          <w:sz w:val="22"/>
          <w:szCs w:val="22"/>
        </w:rPr>
        <w:t xml:space="preserve"> assumptions </w:t>
      </w:r>
      <w:r w:rsidR="00BF13CD">
        <w:rPr>
          <w:rFonts w:ascii="Gill Sans MT" w:hAnsi="Gill Sans MT"/>
          <w:sz w:val="22"/>
          <w:szCs w:val="22"/>
        </w:rPr>
        <w:t xml:space="preserve">to </w:t>
      </w:r>
      <w:r w:rsidR="001D55D8">
        <w:rPr>
          <w:rFonts w:ascii="Gill Sans MT" w:hAnsi="Gill Sans MT"/>
          <w:sz w:val="22"/>
          <w:szCs w:val="22"/>
        </w:rPr>
        <w:t xml:space="preserve">simulate the real world. </w:t>
      </w:r>
      <w:r w:rsidR="007861FE">
        <w:rPr>
          <w:rFonts w:ascii="Gill Sans MT" w:hAnsi="Gill Sans MT"/>
          <w:sz w:val="22"/>
          <w:szCs w:val="22"/>
        </w:rPr>
        <w:t>I</w:t>
      </w:r>
      <w:r w:rsidR="008E53BC">
        <w:rPr>
          <w:rFonts w:ascii="Gill Sans MT" w:hAnsi="Gill Sans MT"/>
          <w:sz w:val="22"/>
          <w:szCs w:val="22"/>
        </w:rPr>
        <w:t xml:space="preserve">t </w:t>
      </w:r>
      <w:r w:rsidR="00D60A2A">
        <w:rPr>
          <w:rFonts w:ascii="Gill Sans MT" w:hAnsi="Gill Sans MT"/>
          <w:sz w:val="22"/>
          <w:szCs w:val="22"/>
        </w:rPr>
        <w:t>is particularly</w:t>
      </w:r>
      <w:r w:rsidR="008E53BC">
        <w:rPr>
          <w:rFonts w:ascii="Gill Sans MT" w:hAnsi="Gill Sans MT"/>
          <w:sz w:val="22"/>
          <w:szCs w:val="22"/>
        </w:rPr>
        <w:t xml:space="preserve"> difficult to </w:t>
      </w:r>
      <w:r w:rsidR="00613EB2">
        <w:rPr>
          <w:rFonts w:ascii="Gill Sans MT" w:hAnsi="Gill Sans MT"/>
          <w:sz w:val="22"/>
          <w:szCs w:val="22"/>
        </w:rPr>
        <w:t>quantify</w:t>
      </w:r>
      <w:r w:rsidR="008E53BC">
        <w:rPr>
          <w:rFonts w:ascii="Gill Sans MT" w:hAnsi="Gill Sans MT"/>
          <w:sz w:val="22"/>
          <w:szCs w:val="22"/>
        </w:rPr>
        <w:t xml:space="preserve"> the</w:t>
      </w:r>
      <w:r w:rsidR="001D55D8">
        <w:rPr>
          <w:rFonts w:ascii="Gill Sans MT" w:hAnsi="Gill Sans MT"/>
          <w:sz w:val="22"/>
          <w:szCs w:val="22"/>
        </w:rPr>
        <w:t xml:space="preserve"> effect of non-tariff barriers</w:t>
      </w:r>
      <w:r w:rsidR="00F92240">
        <w:rPr>
          <w:rFonts w:ascii="Gill Sans MT" w:hAnsi="Gill Sans MT"/>
          <w:sz w:val="22"/>
          <w:szCs w:val="22"/>
        </w:rPr>
        <w:t>, such as custom checks delays at borders,</w:t>
      </w:r>
      <w:r w:rsidR="001D55D8">
        <w:rPr>
          <w:rFonts w:ascii="Gill Sans MT" w:hAnsi="Gill Sans MT"/>
          <w:sz w:val="22"/>
          <w:szCs w:val="22"/>
        </w:rPr>
        <w:t xml:space="preserve"> </w:t>
      </w:r>
      <w:r w:rsidR="00180C4F">
        <w:rPr>
          <w:rFonts w:ascii="Gill Sans MT" w:hAnsi="Gill Sans MT"/>
          <w:sz w:val="22"/>
          <w:szCs w:val="22"/>
        </w:rPr>
        <w:t>as</w:t>
      </w:r>
      <w:r w:rsidR="002635B1">
        <w:rPr>
          <w:rFonts w:ascii="Gill Sans MT" w:hAnsi="Gill Sans MT"/>
          <w:sz w:val="22"/>
          <w:szCs w:val="22"/>
        </w:rPr>
        <w:t xml:space="preserve"> </w:t>
      </w:r>
      <w:r w:rsidR="00FC7D3A">
        <w:rPr>
          <w:rFonts w:ascii="Gill Sans MT" w:hAnsi="Gill Sans MT"/>
          <w:sz w:val="22"/>
          <w:szCs w:val="22"/>
        </w:rPr>
        <w:t>numerical value</w:t>
      </w:r>
      <w:r w:rsidR="00613EB2">
        <w:rPr>
          <w:rFonts w:ascii="Gill Sans MT" w:hAnsi="Gill Sans MT"/>
          <w:sz w:val="22"/>
          <w:szCs w:val="22"/>
        </w:rPr>
        <w:t>s</w:t>
      </w:r>
      <w:r w:rsidR="001D55D8">
        <w:rPr>
          <w:rFonts w:ascii="Gill Sans MT" w:hAnsi="Gill Sans MT"/>
          <w:sz w:val="22"/>
          <w:szCs w:val="22"/>
        </w:rPr>
        <w:t xml:space="preserve">. </w:t>
      </w:r>
    </w:p>
    <w:p w14:paraId="46928DED" w14:textId="347CC004" w:rsidR="00815E06" w:rsidRDefault="00ED1146" w:rsidP="00625C3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ab/>
      </w:r>
      <w:r w:rsidR="005A766C">
        <w:rPr>
          <w:rFonts w:ascii="Gill Sans MT" w:hAnsi="Gill Sans MT"/>
          <w:sz w:val="22"/>
          <w:szCs w:val="22"/>
        </w:rPr>
        <w:t xml:space="preserve">After the referendum, firms </w:t>
      </w:r>
      <w:r w:rsidR="00C46EED">
        <w:rPr>
          <w:rFonts w:ascii="Gill Sans MT" w:hAnsi="Gill Sans MT"/>
          <w:sz w:val="22"/>
          <w:szCs w:val="22"/>
        </w:rPr>
        <w:t xml:space="preserve">had to assign probabilities to </w:t>
      </w:r>
      <w:r w:rsidR="005A766C">
        <w:rPr>
          <w:rFonts w:ascii="Gill Sans MT" w:hAnsi="Gill Sans MT"/>
          <w:sz w:val="22"/>
          <w:szCs w:val="22"/>
        </w:rPr>
        <w:t xml:space="preserve">a. </w:t>
      </w:r>
      <w:r w:rsidR="00C46EED">
        <w:rPr>
          <w:rFonts w:ascii="Gill Sans MT" w:hAnsi="Gill Sans MT"/>
          <w:sz w:val="22"/>
          <w:szCs w:val="22"/>
        </w:rPr>
        <w:t>the likelihood of each scenario occurring</w:t>
      </w:r>
      <w:r w:rsidR="005A766C">
        <w:rPr>
          <w:rFonts w:ascii="Gill Sans MT" w:hAnsi="Gill Sans MT"/>
          <w:sz w:val="22"/>
          <w:szCs w:val="22"/>
        </w:rPr>
        <w:t xml:space="preserve"> and b. when,</w:t>
      </w:r>
      <w:r w:rsidR="00C46EED">
        <w:rPr>
          <w:rFonts w:ascii="Gill Sans MT" w:hAnsi="Gill Sans MT"/>
          <w:sz w:val="22"/>
          <w:szCs w:val="22"/>
        </w:rPr>
        <w:t xml:space="preserve"> to calculate expected </w:t>
      </w:r>
      <w:r w:rsidR="007F54C6">
        <w:rPr>
          <w:rFonts w:ascii="Gill Sans MT" w:hAnsi="Gill Sans MT"/>
          <w:sz w:val="22"/>
          <w:szCs w:val="22"/>
        </w:rPr>
        <w:t xml:space="preserve">impacts on </w:t>
      </w:r>
      <w:r w:rsidR="00C46EED">
        <w:rPr>
          <w:rFonts w:ascii="Gill Sans MT" w:hAnsi="Gill Sans MT"/>
          <w:sz w:val="22"/>
          <w:szCs w:val="22"/>
        </w:rPr>
        <w:t>their business</w:t>
      </w:r>
      <w:r w:rsidR="007F54C6">
        <w:rPr>
          <w:rFonts w:ascii="Gill Sans MT" w:hAnsi="Gill Sans MT"/>
          <w:sz w:val="22"/>
          <w:szCs w:val="22"/>
        </w:rPr>
        <w:t>es</w:t>
      </w:r>
      <w:r w:rsidR="00C46EED">
        <w:rPr>
          <w:rFonts w:ascii="Gill Sans MT" w:hAnsi="Gill Sans MT"/>
          <w:sz w:val="22"/>
          <w:szCs w:val="22"/>
        </w:rPr>
        <w:t xml:space="preserve">. </w:t>
      </w:r>
      <w:r w:rsidR="00725356">
        <w:rPr>
          <w:rFonts w:ascii="Gill Sans MT" w:hAnsi="Gill Sans MT"/>
          <w:sz w:val="22"/>
          <w:szCs w:val="22"/>
        </w:rPr>
        <w:t xml:space="preserve">Work by Steinberg (2019) attempts to </w:t>
      </w:r>
      <w:r w:rsidR="00C46EED">
        <w:rPr>
          <w:rFonts w:ascii="Gill Sans MT" w:hAnsi="Gill Sans MT"/>
          <w:sz w:val="22"/>
          <w:szCs w:val="22"/>
        </w:rPr>
        <w:t>determine</w:t>
      </w:r>
      <w:r w:rsidR="00725356">
        <w:rPr>
          <w:rFonts w:ascii="Gill Sans MT" w:hAnsi="Gill Sans MT"/>
          <w:sz w:val="22"/>
          <w:szCs w:val="22"/>
        </w:rPr>
        <w:t xml:space="preserve"> whether uncertainty over </w:t>
      </w:r>
      <w:r w:rsidR="009A2E8C">
        <w:rPr>
          <w:rFonts w:ascii="Gill Sans MT" w:hAnsi="Gill Sans MT"/>
          <w:sz w:val="22"/>
          <w:szCs w:val="22"/>
        </w:rPr>
        <w:t xml:space="preserve">the </w:t>
      </w:r>
      <w:r w:rsidR="00A50C6B">
        <w:rPr>
          <w:rFonts w:ascii="Gill Sans MT" w:hAnsi="Gill Sans MT"/>
          <w:sz w:val="22"/>
          <w:szCs w:val="22"/>
        </w:rPr>
        <w:t>terms</w:t>
      </w:r>
      <w:r w:rsidR="009A2E8C">
        <w:rPr>
          <w:rFonts w:ascii="Gill Sans MT" w:hAnsi="Gill Sans MT"/>
          <w:sz w:val="22"/>
          <w:szCs w:val="22"/>
        </w:rPr>
        <w:t xml:space="preserve"> of the new deal </w:t>
      </w:r>
      <w:r w:rsidR="00FC7D3A">
        <w:rPr>
          <w:rFonts w:ascii="Gill Sans MT" w:hAnsi="Gill Sans MT"/>
          <w:sz w:val="22"/>
          <w:szCs w:val="22"/>
        </w:rPr>
        <w:t>reduce</w:t>
      </w:r>
      <w:r w:rsidR="00FD089E">
        <w:rPr>
          <w:rFonts w:ascii="Gill Sans MT" w:hAnsi="Gill Sans MT"/>
          <w:sz w:val="22"/>
          <w:szCs w:val="22"/>
        </w:rPr>
        <w:t>d</w:t>
      </w:r>
      <w:r w:rsidR="00FC7D3A">
        <w:rPr>
          <w:rFonts w:ascii="Gill Sans MT" w:hAnsi="Gill Sans MT"/>
          <w:sz w:val="22"/>
          <w:szCs w:val="22"/>
        </w:rPr>
        <w:t xml:space="preserve"> welfare</w:t>
      </w:r>
      <w:r w:rsidR="009A2E8C">
        <w:rPr>
          <w:rFonts w:ascii="Gill Sans MT" w:hAnsi="Gill Sans MT"/>
          <w:sz w:val="22"/>
          <w:szCs w:val="22"/>
        </w:rPr>
        <w:t>.</w:t>
      </w:r>
      <w:r w:rsidR="00E3582A">
        <w:rPr>
          <w:rFonts w:ascii="Gill Sans MT" w:hAnsi="Gill Sans MT"/>
          <w:sz w:val="22"/>
          <w:szCs w:val="22"/>
        </w:rPr>
        <w:t xml:space="preserve"> His paper uses </w:t>
      </w:r>
      <w:r w:rsidR="005B2B2C">
        <w:rPr>
          <w:rFonts w:ascii="Gill Sans MT" w:hAnsi="Gill Sans MT"/>
          <w:sz w:val="22"/>
          <w:szCs w:val="22"/>
        </w:rPr>
        <w:t>a</w:t>
      </w:r>
      <w:r w:rsidR="00AC0172">
        <w:rPr>
          <w:rFonts w:ascii="Gill Sans MT" w:hAnsi="Gill Sans MT"/>
          <w:sz w:val="22"/>
          <w:szCs w:val="22"/>
        </w:rPr>
        <w:t xml:space="preserve"> </w:t>
      </w:r>
      <w:r w:rsidR="00D83D55">
        <w:rPr>
          <w:rFonts w:ascii="Gill Sans MT" w:hAnsi="Gill Sans MT"/>
          <w:sz w:val="22"/>
          <w:szCs w:val="22"/>
        </w:rPr>
        <w:t xml:space="preserve">dynamic </w:t>
      </w:r>
      <w:r w:rsidR="00F92240">
        <w:rPr>
          <w:rFonts w:ascii="Gill Sans MT" w:hAnsi="Gill Sans MT"/>
          <w:sz w:val="22"/>
          <w:szCs w:val="22"/>
        </w:rPr>
        <w:t>GEM</w:t>
      </w:r>
      <w:r w:rsidR="005B2B2C">
        <w:rPr>
          <w:rFonts w:ascii="Gill Sans MT" w:hAnsi="Gill Sans MT"/>
          <w:sz w:val="22"/>
          <w:szCs w:val="22"/>
        </w:rPr>
        <w:t xml:space="preserve"> which </w:t>
      </w:r>
      <w:r w:rsidR="00EF6FCE">
        <w:rPr>
          <w:rFonts w:ascii="Gill Sans MT" w:hAnsi="Gill Sans MT"/>
          <w:sz w:val="22"/>
          <w:szCs w:val="22"/>
        </w:rPr>
        <w:t>compares</w:t>
      </w:r>
      <w:r w:rsidR="00CC113B">
        <w:rPr>
          <w:rFonts w:ascii="Gill Sans MT" w:hAnsi="Gill Sans MT"/>
          <w:sz w:val="22"/>
          <w:szCs w:val="22"/>
        </w:rPr>
        <w:t xml:space="preserve"> a stochastic case </w:t>
      </w:r>
      <w:r w:rsidR="00E3582A">
        <w:rPr>
          <w:rFonts w:ascii="Gill Sans MT" w:hAnsi="Gill Sans MT"/>
          <w:sz w:val="22"/>
          <w:szCs w:val="22"/>
        </w:rPr>
        <w:t>(</w:t>
      </w:r>
      <w:r w:rsidR="00511838">
        <w:rPr>
          <w:rFonts w:ascii="Gill Sans MT" w:hAnsi="Gill Sans MT"/>
          <w:sz w:val="22"/>
          <w:szCs w:val="22"/>
        </w:rPr>
        <w:t xml:space="preserve">agents make decisions based on probabilities of possible outcomes) </w:t>
      </w:r>
      <w:r w:rsidR="00CC113B">
        <w:rPr>
          <w:rFonts w:ascii="Gill Sans MT" w:hAnsi="Gill Sans MT"/>
          <w:sz w:val="22"/>
          <w:szCs w:val="22"/>
        </w:rPr>
        <w:t>with a deterministic case</w:t>
      </w:r>
      <w:r w:rsidR="00E3582A">
        <w:rPr>
          <w:rFonts w:ascii="Gill Sans MT" w:hAnsi="Gill Sans MT"/>
          <w:sz w:val="22"/>
          <w:szCs w:val="22"/>
        </w:rPr>
        <w:t xml:space="preserve"> (agents have perfect foresight)</w:t>
      </w:r>
      <w:r w:rsidR="00511838">
        <w:rPr>
          <w:rFonts w:ascii="Gill Sans MT" w:hAnsi="Gill Sans MT"/>
          <w:sz w:val="22"/>
          <w:szCs w:val="22"/>
        </w:rPr>
        <w:t xml:space="preserve">. He </w:t>
      </w:r>
      <w:r w:rsidR="002C6569">
        <w:rPr>
          <w:rFonts w:ascii="Gill Sans MT" w:hAnsi="Gill Sans MT"/>
          <w:sz w:val="22"/>
          <w:szCs w:val="22"/>
        </w:rPr>
        <w:t>finds</w:t>
      </w:r>
      <w:r w:rsidR="00D001AB">
        <w:rPr>
          <w:rFonts w:ascii="Gill Sans MT" w:hAnsi="Gill Sans MT"/>
          <w:sz w:val="22"/>
          <w:szCs w:val="22"/>
        </w:rPr>
        <w:t xml:space="preserve"> that the costs resulting from uncertainty </w:t>
      </w:r>
      <w:r w:rsidR="003A6553">
        <w:rPr>
          <w:rFonts w:ascii="Gill Sans MT" w:hAnsi="Gill Sans MT"/>
          <w:sz w:val="22"/>
          <w:szCs w:val="22"/>
        </w:rPr>
        <w:t>are</w:t>
      </w:r>
      <w:r w:rsidR="00D001AB">
        <w:rPr>
          <w:rFonts w:ascii="Gill Sans MT" w:hAnsi="Gill Sans MT"/>
          <w:sz w:val="22"/>
          <w:szCs w:val="22"/>
        </w:rPr>
        <w:t xml:space="preserve"> ‘tiny’ compared to the overall </w:t>
      </w:r>
      <w:r w:rsidR="00511838">
        <w:rPr>
          <w:rFonts w:ascii="Gill Sans MT" w:hAnsi="Gill Sans MT"/>
          <w:sz w:val="22"/>
          <w:szCs w:val="22"/>
        </w:rPr>
        <w:t>costs of Brexit</w:t>
      </w:r>
      <w:r w:rsidR="001B03B8">
        <w:rPr>
          <w:rFonts w:ascii="Gill Sans MT" w:hAnsi="Gill Sans MT"/>
          <w:sz w:val="22"/>
          <w:szCs w:val="22"/>
        </w:rPr>
        <w:t xml:space="preserve">: </w:t>
      </w:r>
      <w:r w:rsidR="00610DDE">
        <w:rPr>
          <w:rFonts w:ascii="Gill Sans MT" w:hAnsi="Gill Sans MT"/>
          <w:sz w:val="22"/>
          <w:szCs w:val="22"/>
        </w:rPr>
        <w:t xml:space="preserve">that </w:t>
      </w:r>
      <w:r w:rsidR="002C6569">
        <w:rPr>
          <w:rFonts w:ascii="Gill Sans MT" w:hAnsi="Gill Sans MT"/>
          <w:sz w:val="22"/>
          <w:szCs w:val="22"/>
        </w:rPr>
        <w:t xml:space="preserve">trade flows with the EU will fall by </w:t>
      </w:r>
      <w:r w:rsidR="00D5540C">
        <w:rPr>
          <w:rFonts w:ascii="Gill Sans MT" w:hAnsi="Gill Sans MT"/>
          <w:sz w:val="22"/>
          <w:szCs w:val="22"/>
        </w:rPr>
        <w:t>8.2</w:t>
      </w:r>
      <w:r w:rsidR="00CE068D">
        <w:rPr>
          <w:rFonts w:ascii="Gill Sans MT" w:hAnsi="Gill Sans MT"/>
          <w:sz w:val="22"/>
          <w:szCs w:val="22"/>
        </w:rPr>
        <w:t>%</w:t>
      </w:r>
      <w:r w:rsidR="00D5540C">
        <w:rPr>
          <w:rFonts w:ascii="Gill Sans MT" w:hAnsi="Gill Sans MT"/>
          <w:sz w:val="22"/>
          <w:szCs w:val="22"/>
        </w:rPr>
        <w:t xml:space="preserve"> </w:t>
      </w:r>
      <w:r w:rsidR="00613EB2">
        <w:rPr>
          <w:rFonts w:ascii="Gill Sans MT" w:hAnsi="Gill Sans MT"/>
          <w:sz w:val="22"/>
          <w:szCs w:val="22"/>
        </w:rPr>
        <w:t>to</w:t>
      </w:r>
      <w:r w:rsidR="001545AE">
        <w:rPr>
          <w:rFonts w:ascii="Gill Sans MT" w:hAnsi="Gill Sans MT"/>
          <w:sz w:val="22"/>
          <w:szCs w:val="22"/>
        </w:rPr>
        <w:t xml:space="preserve"> </w:t>
      </w:r>
      <w:r w:rsidR="00D5540C">
        <w:rPr>
          <w:rFonts w:ascii="Gill Sans MT" w:hAnsi="Gill Sans MT"/>
          <w:sz w:val="22"/>
          <w:szCs w:val="22"/>
        </w:rPr>
        <w:t>4</w:t>
      </w:r>
      <w:r w:rsidR="00567674">
        <w:rPr>
          <w:rFonts w:ascii="Gill Sans MT" w:hAnsi="Gill Sans MT"/>
          <w:sz w:val="22"/>
          <w:szCs w:val="22"/>
        </w:rPr>
        <w:t>4</w:t>
      </w:r>
      <w:r w:rsidR="00BF16FF">
        <w:rPr>
          <w:rFonts w:ascii="Gill Sans MT" w:hAnsi="Gill Sans MT"/>
          <w:sz w:val="22"/>
          <w:szCs w:val="22"/>
        </w:rPr>
        <w:t>%</w:t>
      </w:r>
      <w:r w:rsidR="00D5540C">
        <w:rPr>
          <w:rFonts w:ascii="Gill Sans MT" w:hAnsi="Gill Sans MT"/>
          <w:sz w:val="22"/>
          <w:szCs w:val="22"/>
        </w:rPr>
        <w:t xml:space="preserve">. </w:t>
      </w:r>
      <w:r w:rsidR="003D4E6E">
        <w:rPr>
          <w:rFonts w:ascii="Gill Sans MT" w:hAnsi="Gill Sans MT"/>
          <w:sz w:val="22"/>
          <w:szCs w:val="22"/>
        </w:rPr>
        <w:t xml:space="preserve">The paper concludes </w:t>
      </w:r>
      <w:r w:rsidR="002E28CF">
        <w:rPr>
          <w:rFonts w:ascii="Gill Sans MT" w:hAnsi="Gill Sans MT"/>
          <w:sz w:val="22"/>
          <w:szCs w:val="22"/>
        </w:rPr>
        <w:t>by explaining</w:t>
      </w:r>
      <w:r w:rsidR="003D4E6E">
        <w:rPr>
          <w:rFonts w:ascii="Gill Sans MT" w:hAnsi="Gill Sans MT"/>
          <w:sz w:val="22"/>
          <w:szCs w:val="22"/>
        </w:rPr>
        <w:t xml:space="preserve"> the </w:t>
      </w:r>
      <w:r w:rsidR="00FC450D">
        <w:rPr>
          <w:rFonts w:ascii="Gill Sans MT" w:hAnsi="Gill Sans MT"/>
          <w:sz w:val="22"/>
          <w:szCs w:val="22"/>
        </w:rPr>
        <w:t>model’s flaws</w:t>
      </w:r>
      <w:r w:rsidR="002E28CF">
        <w:rPr>
          <w:rFonts w:ascii="Gill Sans MT" w:hAnsi="Gill Sans MT"/>
          <w:sz w:val="22"/>
          <w:szCs w:val="22"/>
        </w:rPr>
        <w:t>, particular</w:t>
      </w:r>
      <w:r w:rsidR="00FC450D">
        <w:rPr>
          <w:rFonts w:ascii="Gill Sans MT" w:hAnsi="Gill Sans MT"/>
          <w:sz w:val="22"/>
          <w:szCs w:val="22"/>
        </w:rPr>
        <w:t>ly</w:t>
      </w:r>
      <w:r w:rsidR="002E28CF">
        <w:rPr>
          <w:rFonts w:ascii="Gill Sans MT" w:hAnsi="Gill Sans MT"/>
          <w:sz w:val="22"/>
          <w:szCs w:val="22"/>
        </w:rPr>
        <w:t xml:space="preserve"> </w:t>
      </w:r>
      <w:r w:rsidR="00C16D72">
        <w:rPr>
          <w:rFonts w:ascii="Gill Sans MT" w:hAnsi="Gill Sans MT"/>
          <w:sz w:val="22"/>
          <w:szCs w:val="22"/>
        </w:rPr>
        <w:t>it’s exclusion of</w:t>
      </w:r>
      <w:r w:rsidR="002E28CF">
        <w:rPr>
          <w:rFonts w:ascii="Gill Sans MT" w:hAnsi="Gill Sans MT"/>
          <w:sz w:val="22"/>
          <w:szCs w:val="22"/>
        </w:rPr>
        <w:t xml:space="preserve"> changes </w:t>
      </w:r>
      <w:r w:rsidR="009A669F">
        <w:rPr>
          <w:rFonts w:ascii="Gill Sans MT" w:hAnsi="Gill Sans MT"/>
          <w:sz w:val="22"/>
          <w:szCs w:val="22"/>
        </w:rPr>
        <w:t>‘concerning immigration and fiscal benefit transfers</w:t>
      </w:r>
      <w:r w:rsidR="00C16D72">
        <w:rPr>
          <w:rFonts w:ascii="Gill Sans MT" w:hAnsi="Gill Sans MT"/>
          <w:sz w:val="22"/>
          <w:szCs w:val="22"/>
        </w:rPr>
        <w:t xml:space="preserve"> (FBT)</w:t>
      </w:r>
      <w:r w:rsidR="009A669F">
        <w:rPr>
          <w:rFonts w:ascii="Gill Sans MT" w:hAnsi="Gill Sans MT"/>
          <w:sz w:val="22"/>
          <w:szCs w:val="22"/>
        </w:rPr>
        <w:t xml:space="preserve">.’ </w:t>
      </w:r>
      <w:r w:rsidR="00C16D72">
        <w:rPr>
          <w:rFonts w:ascii="Gill Sans MT" w:hAnsi="Gill Sans MT"/>
          <w:sz w:val="22"/>
          <w:szCs w:val="22"/>
        </w:rPr>
        <w:t>FBT</w:t>
      </w:r>
      <w:r w:rsidR="00B53EC0">
        <w:rPr>
          <w:rFonts w:ascii="Gill Sans MT" w:hAnsi="Gill Sans MT"/>
          <w:sz w:val="22"/>
          <w:szCs w:val="22"/>
        </w:rPr>
        <w:t>s</w:t>
      </w:r>
      <w:r w:rsidR="00B91B8A">
        <w:rPr>
          <w:rFonts w:ascii="Gill Sans MT" w:hAnsi="Gill Sans MT"/>
          <w:sz w:val="22"/>
          <w:szCs w:val="22"/>
        </w:rPr>
        <w:t xml:space="preserve"> are </w:t>
      </w:r>
      <w:r w:rsidR="00C76878">
        <w:rPr>
          <w:rFonts w:ascii="Gill Sans MT" w:hAnsi="Gill Sans MT"/>
          <w:sz w:val="22"/>
          <w:szCs w:val="22"/>
        </w:rPr>
        <w:t>contributions which members make to the EU budget</w:t>
      </w:r>
      <w:r w:rsidR="0027743E">
        <w:rPr>
          <w:rFonts w:ascii="Gill Sans MT" w:hAnsi="Gill Sans MT"/>
          <w:sz w:val="22"/>
          <w:szCs w:val="22"/>
        </w:rPr>
        <w:t>. A</w:t>
      </w:r>
      <w:r w:rsidR="00A2359D">
        <w:rPr>
          <w:rFonts w:ascii="Gill Sans MT" w:hAnsi="Gill Sans MT"/>
          <w:sz w:val="22"/>
          <w:szCs w:val="22"/>
        </w:rPr>
        <w:t>nother motive for leaving</w:t>
      </w:r>
      <w:r w:rsidR="0027743E">
        <w:rPr>
          <w:rFonts w:ascii="Gill Sans MT" w:hAnsi="Gill Sans MT"/>
          <w:sz w:val="22"/>
          <w:szCs w:val="22"/>
        </w:rPr>
        <w:t xml:space="preserve"> was that the UK was a net contributor</w:t>
      </w:r>
      <w:r w:rsidR="00A2359D">
        <w:rPr>
          <w:rFonts w:ascii="Gill Sans MT" w:hAnsi="Gill Sans MT"/>
          <w:sz w:val="22"/>
          <w:szCs w:val="22"/>
        </w:rPr>
        <w:t xml:space="preserve">; </w:t>
      </w:r>
      <w:r w:rsidR="006E770C">
        <w:rPr>
          <w:rFonts w:ascii="Gill Sans MT" w:hAnsi="Gill Sans MT"/>
          <w:sz w:val="22"/>
          <w:szCs w:val="22"/>
        </w:rPr>
        <w:t>it</w:t>
      </w:r>
      <w:r w:rsidR="009C173B">
        <w:rPr>
          <w:rFonts w:ascii="Gill Sans MT" w:hAnsi="Gill Sans MT"/>
          <w:sz w:val="22"/>
          <w:szCs w:val="22"/>
        </w:rPr>
        <w:t xml:space="preserve"> pa</w:t>
      </w:r>
      <w:r w:rsidR="00C76878">
        <w:rPr>
          <w:rFonts w:ascii="Gill Sans MT" w:hAnsi="Gill Sans MT"/>
          <w:sz w:val="22"/>
          <w:szCs w:val="22"/>
        </w:rPr>
        <w:t xml:space="preserve">id </w:t>
      </w:r>
      <w:r w:rsidR="009C173B">
        <w:rPr>
          <w:rFonts w:ascii="Gill Sans MT" w:hAnsi="Gill Sans MT"/>
          <w:sz w:val="22"/>
          <w:szCs w:val="22"/>
        </w:rPr>
        <w:t xml:space="preserve">more money in than </w:t>
      </w:r>
      <w:r w:rsidR="006E770C">
        <w:rPr>
          <w:rFonts w:ascii="Gill Sans MT" w:hAnsi="Gill Sans MT"/>
          <w:sz w:val="22"/>
          <w:szCs w:val="22"/>
        </w:rPr>
        <w:t>it</w:t>
      </w:r>
      <w:r w:rsidR="009C173B">
        <w:rPr>
          <w:rFonts w:ascii="Gill Sans MT" w:hAnsi="Gill Sans MT"/>
          <w:sz w:val="22"/>
          <w:szCs w:val="22"/>
        </w:rPr>
        <w:t xml:space="preserve"> </w:t>
      </w:r>
      <w:r w:rsidR="00C76878">
        <w:rPr>
          <w:rFonts w:ascii="Gill Sans MT" w:hAnsi="Gill Sans MT"/>
          <w:sz w:val="22"/>
          <w:szCs w:val="22"/>
        </w:rPr>
        <w:t>took</w:t>
      </w:r>
      <w:r w:rsidR="009C173B">
        <w:rPr>
          <w:rFonts w:ascii="Gill Sans MT" w:hAnsi="Gill Sans MT"/>
          <w:sz w:val="22"/>
          <w:szCs w:val="22"/>
        </w:rPr>
        <w:t xml:space="preserve"> out.</w:t>
      </w:r>
      <w:r w:rsidR="00491E92">
        <w:rPr>
          <w:rFonts w:ascii="Gill Sans MT" w:hAnsi="Gill Sans MT"/>
          <w:sz w:val="22"/>
          <w:szCs w:val="22"/>
        </w:rPr>
        <w:t xml:space="preserve"> </w:t>
      </w:r>
    </w:p>
    <w:p w14:paraId="6170FD97" w14:textId="29F8BDAC" w:rsidR="00567674" w:rsidRDefault="00567674" w:rsidP="00625C3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lastRenderedPageBreak/>
        <w:tab/>
      </w:r>
      <w:r w:rsidR="004564D4">
        <w:rPr>
          <w:rFonts w:ascii="Gill Sans MT" w:hAnsi="Gill Sans MT"/>
          <w:sz w:val="22"/>
          <w:szCs w:val="22"/>
        </w:rPr>
        <w:t>Brexit is an example of economic nationalism</w:t>
      </w:r>
      <w:r w:rsidR="009826A3">
        <w:rPr>
          <w:rFonts w:ascii="Gill Sans MT" w:hAnsi="Gill Sans MT"/>
          <w:sz w:val="22"/>
          <w:szCs w:val="22"/>
        </w:rPr>
        <w:t xml:space="preserve"> (EN)</w:t>
      </w:r>
      <w:r w:rsidR="004564D4">
        <w:rPr>
          <w:rFonts w:ascii="Gill Sans MT" w:hAnsi="Gill Sans MT"/>
          <w:sz w:val="22"/>
          <w:szCs w:val="22"/>
        </w:rPr>
        <w:t xml:space="preserve">, </w:t>
      </w:r>
      <w:r w:rsidR="0027743E">
        <w:rPr>
          <w:rFonts w:ascii="Gill Sans MT" w:hAnsi="Gill Sans MT"/>
          <w:sz w:val="22"/>
          <w:szCs w:val="22"/>
        </w:rPr>
        <w:t>when</w:t>
      </w:r>
      <w:r w:rsidR="00967F5D">
        <w:rPr>
          <w:rFonts w:ascii="Gill Sans MT" w:hAnsi="Gill Sans MT"/>
          <w:sz w:val="22"/>
          <w:szCs w:val="22"/>
        </w:rPr>
        <w:t xml:space="preserve"> a country protect</w:t>
      </w:r>
      <w:r w:rsidR="007966EF">
        <w:rPr>
          <w:rFonts w:ascii="Gill Sans MT" w:hAnsi="Gill Sans MT"/>
          <w:sz w:val="22"/>
          <w:szCs w:val="22"/>
        </w:rPr>
        <w:t>s</w:t>
      </w:r>
      <w:r w:rsidR="00967F5D">
        <w:rPr>
          <w:rFonts w:ascii="Gill Sans MT" w:hAnsi="Gill Sans MT"/>
          <w:sz w:val="22"/>
          <w:szCs w:val="22"/>
        </w:rPr>
        <w:t xml:space="preserve"> </w:t>
      </w:r>
      <w:r w:rsidR="00765755">
        <w:rPr>
          <w:rFonts w:ascii="Gill Sans MT" w:hAnsi="Gill Sans MT"/>
          <w:sz w:val="22"/>
          <w:szCs w:val="22"/>
        </w:rPr>
        <w:t>its</w:t>
      </w:r>
      <w:r w:rsidR="00967F5D">
        <w:rPr>
          <w:rFonts w:ascii="Gill Sans MT" w:hAnsi="Gill Sans MT"/>
          <w:sz w:val="22"/>
          <w:szCs w:val="22"/>
        </w:rPr>
        <w:t xml:space="preserve"> own economic interests</w:t>
      </w:r>
      <w:r w:rsidR="00F77072">
        <w:rPr>
          <w:rFonts w:ascii="Gill Sans MT" w:hAnsi="Gill Sans MT"/>
          <w:sz w:val="22"/>
          <w:szCs w:val="22"/>
        </w:rPr>
        <w:t xml:space="preserve"> through protectionist policies</w:t>
      </w:r>
      <w:r w:rsidR="00333AC1">
        <w:rPr>
          <w:rFonts w:ascii="Gill Sans MT" w:hAnsi="Gill Sans MT"/>
          <w:sz w:val="22"/>
          <w:szCs w:val="22"/>
        </w:rPr>
        <w:t>.</w:t>
      </w:r>
      <w:r w:rsidR="00CD6D15">
        <w:rPr>
          <w:rFonts w:ascii="Gill Sans MT" w:hAnsi="Gill Sans MT"/>
          <w:sz w:val="22"/>
          <w:szCs w:val="22"/>
        </w:rPr>
        <w:t xml:space="preserve"> </w:t>
      </w:r>
      <w:r w:rsidR="00C7286F">
        <w:rPr>
          <w:rFonts w:ascii="Gill Sans MT" w:hAnsi="Gill Sans MT"/>
          <w:sz w:val="22"/>
          <w:szCs w:val="22"/>
        </w:rPr>
        <w:t xml:space="preserve">Motivated by </w:t>
      </w:r>
      <w:r w:rsidR="007C1BEB">
        <w:rPr>
          <w:rFonts w:ascii="Gill Sans MT" w:hAnsi="Gill Sans MT"/>
          <w:sz w:val="22"/>
          <w:szCs w:val="22"/>
        </w:rPr>
        <w:t xml:space="preserve">an international </w:t>
      </w:r>
      <w:r w:rsidR="00C7286F">
        <w:rPr>
          <w:rFonts w:ascii="Gill Sans MT" w:hAnsi="Gill Sans MT"/>
          <w:sz w:val="22"/>
          <w:szCs w:val="22"/>
        </w:rPr>
        <w:t xml:space="preserve">trend of increased </w:t>
      </w:r>
      <w:r w:rsidR="009826A3">
        <w:rPr>
          <w:rFonts w:ascii="Gill Sans MT" w:hAnsi="Gill Sans MT"/>
          <w:sz w:val="22"/>
          <w:szCs w:val="22"/>
        </w:rPr>
        <w:t>EN</w:t>
      </w:r>
      <w:r w:rsidR="007C1BEB">
        <w:rPr>
          <w:rFonts w:ascii="Gill Sans MT" w:hAnsi="Gill Sans MT"/>
          <w:sz w:val="22"/>
          <w:szCs w:val="22"/>
        </w:rPr>
        <w:t xml:space="preserve"> (e.g. US/China trade war)</w:t>
      </w:r>
      <w:r w:rsidR="00CA32FC">
        <w:rPr>
          <w:rFonts w:ascii="Gill Sans MT" w:hAnsi="Gill Sans MT"/>
          <w:sz w:val="22"/>
          <w:szCs w:val="22"/>
        </w:rPr>
        <w:t>, a paper by Born et al. (2019)</w:t>
      </w:r>
      <w:r w:rsidR="00854797">
        <w:rPr>
          <w:rFonts w:ascii="Gill Sans MT" w:hAnsi="Gill Sans MT"/>
          <w:sz w:val="22"/>
          <w:szCs w:val="22"/>
        </w:rPr>
        <w:t xml:space="preserve"> aimed to investigate </w:t>
      </w:r>
      <w:r w:rsidR="009826A3">
        <w:rPr>
          <w:rFonts w:ascii="Gill Sans MT" w:hAnsi="Gill Sans MT"/>
          <w:sz w:val="22"/>
          <w:szCs w:val="22"/>
        </w:rPr>
        <w:t>the</w:t>
      </w:r>
      <w:r w:rsidR="00854797">
        <w:rPr>
          <w:rFonts w:ascii="Gill Sans MT" w:hAnsi="Gill Sans MT"/>
          <w:sz w:val="22"/>
          <w:szCs w:val="22"/>
        </w:rPr>
        <w:t xml:space="preserve"> cost </w:t>
      </w:r>
      <w:r w:rsidR="009826A3">
        <w:rPr>
          <w:rFonts w:ascii="Gill Sans MT" w:hAnsi="Gill Sans MT"/>
          <w:sz w:val="22"/>
          <w:szCs w:val="22"/>
        </w:rPr>
        <w:t xml:space="preserve">of EN </w:t>
      </w:r>
      <w:r w:rsidR="00854797">
        <w:rPr>
          <w:rFonts w:ascii="Gill Sans MT" w:hAnsi="Gill Sans MT"/>
          <w:sz w:val="22"/>
          <w:szCs w:val="22"/>
        </w:rPr>
        <w:t>by using</w:t>
      </w:r>
      <w:r w:rsidR="00765755">
        <w:rPr>
          <w:rFonts w:ascii="Gill Sans MT" w:hAnsi="Gill Sans MT"/>
          <w:sz w:val="22"/>
          <w:szCs w:val="22"/>
        </w:rPr>
        <w:t xml:space="preserve"> </w:t>
      </w:r>
      <w:r w:rsidR="008305B4">
        <w:rPr>
          <w:rFonts w:ascii="Gill Sans MT" w:hAnsi="Gill Sans MT"/>
          <w:sz w:val="22"/>
          <w:szCs w:val="22"/>
        </w:rPr>
        <w:t>the Brexit referendum as a ‘natural macroeconomic experiment’</w:t>
      </w:r>
      <w:r w:rsidR="00765755">
        <w:rPr>
          <w:rFonts w:ascii="Gill Sans MT" w:hAnsi="Gill Sans MT"/>
          <w:sz w:val="22"/>
          <w:szCs w:val="22"/>
        </w:rPr>
        <w:t>.</w:t>
      </w:r>
      <w:r w:rsidR="008305B4">
        <w:rPr>
          <w:rFonts w:ascii="Gill Sans MT" w:hAnsi="Gill Sans MT"/>
          <w:sz w:val="22"/>
          <w:szCs w:val="22"/>
        </w:rPr>
        <w:t xml:space="preserve"> </w:t>
      </w:r>
      <w:r w:rsidR="00C4593F">
        <w:rPr>
          <w:rFonts w:ascii="Gill Sans MT" w:hAnsi="Gill Sans MT"/>
          <w:sz w:val="22"/>
          <w:szCs w:val="22"/>
        </w:rPr>
        <w:t xml:space="preserve">They argue that </w:t>
      </w:r>
      <w:r w:rsidR="003E29E4">
        <w:rPr>
          <w:rFonts w:ascii="Gill Sans MT" w:hAnsi="Gill Sans MT"/>
          <w:sz w:val="22"/>
          <w:szCs w:val="22"/>
        </w:rPr>
        <w:t>it</w:t>
      </w:r>
      <w:r w:rsidR="00C4593F">
        <w:rPr>
          <w:rFonts w:ascii="Gill Sans MT" w:hAnsi="Gill Sans MT"/>
          <w:sz w:val="22"/>
          <w:szCs w:val="22"/>
        </w:rPr>
        <w:t xml:space="preserve"> </w:t>
      </w:r>
      <w:r w:rsidR="00357ACE">
        <w:rPr>
          <w:rFonts w:ascii="Gill Sans MT" w:hAnsi="Gill Sans MT"/>
          <w:sz w:val="22"/>
          <w:szCs w:val="22"/>
        </w:rPr>
        <w:t xml:space="preserve">was a natural experiment </w:t>
      </w:r>
      <w:r w:rsidR="00C4593F">
        <w:rPr>
          <w:rFonts w:ascii="Gill Sans MT" w:hAnsi="Gill Sans MT"/>
          <w:sz w:val="22"/>
          <w:szCs w:val="22"/>
        </w:rPr>
        <w:t xml:space="preserve">because it was </w:t>
      </w:r>
      <w:r w:rsidR="00B73BD1">
        <w:rPr>
          <w:rFonts w:ascii="Gill Sans MT" w:hAnsi="Gill Sans MT"/>
          <w:sz w:val="22"/>
          <w:szCs w:val="22"/>
        </w:rPr>
        <w:t xml:space="preserve">1. </w:t>
      </w:r>
      <w:r w:rsidR="00C4593F">
        <w:rPr>
          <w:rFonts w:ascii="Gill Sans MT" w:hAnsi="Gill Sans MT"/>
          <w:sz w:val="22"/>
          <w:szCs w:val="22"/>
        </w:rPr>
        <w:t>u</w:t>
      </w:r>
      <w:r w:rsidR="00357ACE">
        <w:rPr>
          <w:rFonts w:ascii="Gill Sans MT" w:hAnsi="Gill Sans MT"/>
          <w:sz w:val="22"/>
          <w:szCs w:val="22"/>
        </w:rPr>
        <w:t>nexpected</w:t>
      </w:r>
      <w:r w:rsidR="00EC5B5F">
        <w:rPr>
          <w:rFonts w:ascii="Gill Sans MT" w:hAnsi="Gill Sans MT"/>
          <w:sz w:val="22"/>
          <w:szCs w:val="22"/>
        </w:rPr>
        <w:t xml:space="preserve"> (Remain was expected to win) and </w:t>
      </w:r>
      <w:r w:rsidR="00B73BD1">
        <w:rPr>
          <w:rFonts w:ascii="Gill Sans MT" w:hAnsi="Gill Sans MT"/>
          <w:sz w:val="22"/>
          <w:szCs w:val="22"/>
        </w:rPr>
        <w:t xml:space="preserve">2. </w:t>
      </w:r>
      <w:r w:rsidR="00EC5B5F">
        <w:rPr>
          <w:rFonts w:ascii="Gill Sans MT" w:hAnsi="Gill Sans MT"/>
          <w:sz w:val="22"/>
          <w:szCs w:val="22"/>
        </w:rPr>
        <w:t xml:space="preserve">voting was </w:t>
      </w:r>
      <w:r w:rsidR="0082482E">
        <w:rPr>
          <w:rFonts w:ascii="Gill Sans MT" w:hAnsi="Gill Sans MT"/>
          <w:sz w:val="22"/>
          <w:szCs w:val="22"/>
        </w:rPr>
        <w:t xml:space="preserve">determined by </w:t>
      </w:r>
      <w:r w:rsidR="00563D1A">
        <w:rPr>
          <w:rFonts w:ascii="Gill Sans MT" w:hAnsi="Gill Sans MT"/>
          <w:sz w:val="22"/>
          <w:szCs w:val="22"/>
        </w:rPr>
        <w:t>political</w:t>
      </w:r>
      <w:r w:rsidR="00E00F17">
        <w:rPr>
          <w:rFonts w:ascii="Gill Sans MT" w:hAnsi="Gill Sans MT"/>
          <w:sz w:val="22"/>
          <w:szCs w:val="22"/>
        </w:rPr>
        <w:t xml:space="preserve"> rather than economic</w:t>
      </w:r>
      <w:r w:rsidR="00563D1A">
        <w:rPr>
          <w:rFonts w:ascii="Gill Sans MT" w:hAnsi="Gill Sans MT"/>
          <w:sz w:val="22"/>
          <w:szCs w:val="22"/>
        </w:rPr>
        <w:t xml:space="preserve"> factors</w:t>
      </w:r>
      <w:r w:rsidR="00E00F17">
        <w:rPr>
          <w:rFonts w:ascii="Gill Sans MT" w:hAnsi="Gill Sans MT"/>
          <w:sz w:val="22"/>
          <w:szCs w:val="22"/>
        </w:rPr>
        <w:t xml:space="preserve"> – a </w:t>
      </w:r>
      <w:r w:rsidR="0082482E">
        <w:rPr>
          <w:rFonts w:ascii="Gill Sans MT" w:hAnsi="Gill Sans MT"/>
          <w:sz w:val="22"/>
          <w:szCs w:val="22"/>
        </w:rPr>
        <w:t xml:space="preserve">desire for national </w:t>
      </w:r>
      <w:r w:rsidR="005A289A">
        <w:rPr>
          <w:rFonts w:ascii="Gill Sans MT" w:hAnsi="Gill Sans MT"/>
          <w:sz w:val="22"/>
          <w:szCs w:val="22"/>
        </w:rPr>
        <w:t>sovereignty</w:t>
      </w:r>
      <w:r w:rsidR="0082482E">
        <w:rPr>
          <w:rFonts w:ascii="Gill Sans MT" w:hAnsi="Gill Sans MT"/>
          <w:sz w:val="22"/>
          <w:szCs w:val="22"/>
        </w:rPr>
        <w:t xml:space="preserve"> </w:t>
      </w:r>
      <w:r w:rsidR="00F81E5A">
        <w:rPr>
          <w:rFonts w:ascii="Gill Sans MT" w:hAnsi="Gill Sans MT"/>
          <w:sz w:val="22"/>
          <w:szCs w:val="22"/>
        </w:rPr>
        <w:t>rather than</w:t>
      </w:r>
      <w:r w:rsidR="00F25C36">
        <w:rPr>
          <w:rFonts w:ascii="Gill Sans MT" w:hAnsi="Gill Sans MT"/>
          <w:sz w:val="22"/>
          <w:szCs w:val="22"/>
        </w:rPr>
        <w:t xml:space="preserve"> </w:t>
      </w:r>
      <w:r w:rsidR="001C555E">
        <w:rPr>
          <w:rFonts w:ascii="Gill Sans MT" w:hAnsi="Gill Sans MT"/>
          <w:sz w:val="22"/>
          <w:szCs w:val="22"/>
        </w:rPr>
        <w:t>poor</w:t>
      </w:r>
      <w:r w:rsidR="005A289A">
        <w:rPr>
          <w:rFonts w:ascii="Gill Sans MT" w:hAnsi="Gill Sans MT"/>
          <w:sz w:val="22"/>
          <w:szCs w:val="22"/>
        </w:rPr>
        <w:t xml:space="preserve"> macroeconomic performance. </w:t>
      </w:r>
      <w:r w:rsidR="001545AE">
        <w:rPr>
          <w:rFonts w:ascii="Gill Sans MT" w:hAnsi="Gill Sans MT"/>
          <w:sz w:val="22"/>
          <w:szCs w:val="22"/>
        </w:rPr>
        <w:t>B</w:t>
      </w:r>
      <w:r w:rsidR="00AB7487">
        <w:rPr>
          <w:rFonts w:ascii="Gill Sans MT" w:hAnsi="Gill Sans MT"/>
          <w:sz w:val="22"/>
          <w:szCs w:val="22"/>
        </w:rPr>
        <w:t>y</w:t>
      </w:r>
      <w:r w:rsidR="00480973">
        <w:rPr>
          <w:rFonts w:ascii="Gill Sans MT" w:hAnsi="Gill Sans MT"/>
          <w:sz w:val="22"/>
          <w:szCs w:val="22"/>
        </w:rPr>
        <w:t xml:space="preserve"> 2018, the</w:t>
      </w:r>
      <w:r w:rsidR="001545AE">
        <w:rPr>
          <w:rFonts w:ascii="Gill Sans MT" w:hAnsi="Gill Sans MT"/>
          <w:sz w:val="22"/>
          <w:szCs w:val="22"/>
        </w:rPr>
        <w:t>y found that the</w:t>
      </w:r>
      <w:r w:rsidR="00480973">
        <w:rPr>
          <w:rFonts w:ascii="Gill Sans MT" w:hAnsi="Gill Sans MT"/>
          <w:sz w:val="22"/>
          <w:szCs w:val="22"/>
        </w:rPr>
        <w:t xml:space="preserve"> referendum </w:t>
      </w:r>
      <w:r w:rsidR="00AB7487">
        <w:rPr>
          <w:rFonts w:ascii="Gill Sans MT" w:hAnsi="Gill Sans MT"/>
          <w:sz w:val="22"/>
          <w:szCs w:val="22"/>
        </w:rPr>
        <w:t xml:space="preserve">alone </w:t>
      </w:r>
      <w:r w:rsidR="00480973">
        <w:rPr>
          <w:rFonts w:ascii="Gill Sans MT" w:hAnsi="Gill Sans MT"/>
          <w:sz w:val="22"/>
          <w:szCs w:val="22"/>
        </w:rPr>
        <w:t>had reduced GDP by between 1.7 and 2.5 percen</w:t>
      </w:r>
      <w:r w:rsidR="009E4C1B">
        <w:rPr>
          <w:rFonts w:ascii="Gill Sans MT" w:hAnsi="Gill Sans MT"/>
          <w:sz w:val="22"/>
          <w:szCs w:val="22"/>
        </w:rPr>
        <w:t xml:space="preserve">t, </w:t>
      </w:r>
      <w:r w:rsidR="008F272A">
        <w:rPr>
          <w:rFonts w:ascii="Gill Sans MT" w:hAnsi="Gill Sans MT"/>
          <w:sz w:val="22"/>
          <w:szCs w:val="22"/>
        </w:rPr>
        <w:t xml:space="preserve">predominantly caused by agents </w:t>
      </w:r>
      <w:r w:rsidR="00BB3C95">
        <w:rPr>
          <w:rFonts w:ascii="Gill Sans MT" w:hAnsi="Gill Sans MT"/>
          <w:sz w:val="22"/>
          <w:szCs w:val="22"/>
        </w:rPr>
        <w:t>reducing consumption and investment because of downgraded ‘</w:t>
      </w:r>
      <w:r w:rsidR="008F272A">
        <w:rPr>
          <w:rFonts w:ascii="Gill Sans MT" w:hAnsi="Gill Sans MT"/>
          <w:sz w:val="22"/>
          <w:szCs w:val="22"/>
        </w:rPr>
        <w:t xml:space="preserve">expectations of future </w:t>
      </w:r>
      <w:r w:rsidR="00BB3C95">
        <w:rPr>
          <w:rFonts w:ascii="Gill Sans MT" w:hAnsi="Gill Sans MT"/>
          <w:sz w:val="22"/>
          <w:szCs w:val="22"/>
        </w:rPr>
        <w:t>incomes’</w:t>
      </w:r>
      <w:r w:rsidR="0084530C">
        <w:rPr>
          <w:rFonts w:ascii="Gill Sans MT" w:hAnsi="Gill Sans MT"/>
          <w:sz w:val="22"/>
          <w:szCs w:val="22"/>
        </w:rPr>
        <w:t>, rather than uncertainty</w:t>
      </w:r>
      <w:r w:rsidR="004E3F49">
        <w:rPr>
          <w:rFonts w:ascii="Gill Sans MT" w:hAnsi="Gill Sans MT"/>
          <w:sz w:val="22"/>
          <w:szCs w:val="22"/>
        </w:rPr>
        <w:t xml:space="preserve"> of what the deal would be</w:t>
      </w:r>
      <w:r w:rsidR="0084530C">
        <w:rPr>
          <w:rFonts w:ascii="Gill Sans MT" w:hAnsi="Gill Sans MT"/>
          <w:sz w:val="22"/>
          <w:szCs w:val="22"/>
        </w:rPr>
        <w:t>.</w:t>
      </w:r>
      <w:r w:rsidR="00AB7487">
        <w:rPr>
          <w:rFonts w:ascii="Gill Sans MT" w:hAnsi="Gill Sans MT"/>
          <w:sz w:val="22"/>
          <w:szCs w:val="22"/>
        </w:rPr>
        <w:t xml:space="preserve"> </w:t>
      </w:r>
      <w:r w:rsidR="008167A4">
        <w:rPr>
          <w:rFonts w:ascii="Gill Sans MT" w:hAnsi="Gill Sans MT"/>
          <w:sz w:val="22"/>
          <w:szCs w:val="22"/>
        </w:rPr>
        <w:t>I</w:t>
      </w:r>
      <w:r w:rsidR="009E4C1B">
        <w:rPr>
          <w:rFonts w:ascii="Gill Sans MT" w:hAnsi="Gill Sans MT"/>
          <w:sz w:val="22"/>
          <w:szCs w:val="22"/>
        </w:rPr>
        <w:t xml:space="preserve">ncreased </w:t>
      </w:r>
      <w:r w:rsidR="0084530C">
        <w:rPr>
          <w:rFonts w:ascii="Gill Sans MT" w:hAnsi="Gill Sans MT"/>
          <w:sz w:val="22"/>
          <w:szCs w:val="22"/>
        </w:rPr>
        <w:t>‘</w:t>
      </w:r>
      <w:r w:rsidR="00F445AF">
        <w:rPr>
          <w:rFonts w:ascii="Gill Sans MT" w:hAnsi="Gill Sans MT"/>
          <w:sz w:val="22"/>
          <w:szCs w:val="22"/>
        </w:rPr>
        <w:t>uncertainty of future economic</w:t>
      </w:r>
      <w:r w:rsidR="009E4C1B">
        <w:rPr>
          <w:rFonts w:ascii="Gill Sans MT" w:hAnsi="Gill Sans MT"/>
          <w:sz w:val="22"/>
          <w:szCs w:val="22"/>
        </w:rPr>
        <w:t xml:space="preserve"> </w:t>
      </w:r>
      <w:r w:rsidR="00F445AF">
        <w:rPr>
          <w:rFonts w:ascii="Gill Sans MT" w:hAnsi="Gill Sans MT"/>
          <w:sz w:val="22"/>
          <w:szCs w:val="22"/>
        </w:rPr>
        <w:t>outcomes</w:t>
      </w:r>
      <w:r w:rsidR="0084530C">
        <w:rPr>
          <w:rFonts w:ascii="Gill Sans MT" w:hAnsi="Gill Sans MT"/>
          <w:sz w:val="22"/>
          <w:szCs w:val="22"/>
        </w:rPr>
        <w:t>’</w:t>
      </w:r>
      <w:r w:rsidR="00F445AF">
        <w:rPr>
          <w:rFonts w:ascii="Gill Sans MT" w:hAnsi="Gill Sans MT"/>
          <w:sz w:val="22"/>
          <w:szCs w:val="22"/>
        </w:rPr>
        <w:t xml:space="preserve"> </w:t>
      </w:r>
      <w:r w:rsidR="008167A4">
        <w:rPr>
          <w:rFonts w:ascii="Gill Sans MT" w:hAnsi="Gill Sans MT"/>
          <w:sz w:val="22"/>
          <w:szCs w:val="22"/>
        </w:rPr>
        <w:t>was found to account</w:t>
      </w:r>
      <w:r w:rsidR="00F445AF">
        <w:rPr>
          <w:rFonts w:ascii="Gill Sans MT" w:hAnsi="Gill Sans MT"/>
          <w:sz w:val="22"/>
          <w:szCs w:val="22"/>
        </w:rPr>
        <w:t xml:space="preserve"> for </w:t>
      </w:r>
      <w:r w:rsidR="00353C37">
        <w:rPr>
          <w:rFonts w:ascii="Gill Sans MT" w:hAnsi="Gill Sans MT"/>
          <w:sz w:val="22"/>
          <w:szCs w:val="22"/>
        </w:rPr>
        <w:t xml:space="preserve">just </w:t>
      </w:r>
      <w:r w:rsidR="00F445AF">
        <w:rPr>
          <w:rFonts w:ascii="Gill Sans MT" w:hAnsi="Gill Sans MT"/>
          <w:sz w:val="22"/>
          <w:szCs w:val="22"/>
        </w:rPr>
        <w:t>20% of the observed effects</w:t>
      </w:r>
      <w:r w:rsidR="008167A4">
        <w:rPr>
          <w:rFonts w:ascii="Gill Sans MT" w:hAnsi="Gill Sans MT"/>
          <w:sz w:val="22"/>
          <w:szCs w:val="22"/>
        </w:rPr>
        <w:t xml:space="preserve">, </w:t>
      </w:r>
      <w:r w:rsidR="00126834">
        <w:rPr>
          <w:rFonts w:ascii="Gill Sans MT" w:hAnsi="Gill Sans MT"/>
          <w:sz w:val="22"/>
          <w:szCs w:val="22"/>
        </w:rPr>
        <w:t>agree</w:t>
      </w:r>
      <w:r w:rsidR="003E5EA1">
        <w:rPr>
          <w:rFonts w:ascii="Gill Sans MT" w:hAnsi="Gill Sans MT"/>
          <w:sz w:val="22"/>
          <w:szCs w:val="22"/>
        </w:rPr>
        <w:t>ing</w:t>
      </w:r>
      <w:r w:rsidR="00126834">
        <w:rPr>
          <w:rFonts w:ascii="Gill Sans MT" w:hAnsi="Gill Sans MT"/>
          <w:sz w:val="22"/>
          <w:szCs w:val="22"/>
        </w:rPr>
        <w:t xml:space="preserve"> with </w:t>
      </w:r>
      <w:r w:rsidR="003E5EA1">
        <w:rPr>
          <w:rFonts w:ascii="Gill Sans MT" w:hAnsi="Gill Sans MT"/>
          <w:sz w:val="22"/>
          <w:szCs w:val="22"/>
        </w:rPr>
        <w:t xml:space="preserve">the conclusion of </w:t>
      </w:r>
      <w:r w:rsidR="00126834">
        <w:rPr>
          <w:rFonts w:ascii="Gill Sans MT" w:hAnsi="Gill Sans MT"/>
          <w:sz w:val="22"/>
          <w:szCs w:val="22"/>
        </w:rPr>
        <w:t>Steinberg (2019)</w:t>
      </w:r>
      <w:r w:rsidR="008167A4">
        <w:rPr>
          <w:rFonts w:ascii="Gill Sans MT" w:hAnsi="Gill Sans MT"/>
          <w:sz w:val="22"/>
          <w:szCs w:val="22"/>
        </w:rPr>
        <w:t xml:space="preserve">. </w:t>
      </w:r>
    </w:p>
    <w:p w14:paraId="095009D4" w14:textId="307068EF" w:rsidR="00943C2D" w:rsidRDefault="00F4195D" w:rsidP="00512BE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A </w:t>
      </w:r>
      <w:r w:rsidR="00A34D26">
        <w:rPr>
          <w:rFonts w:ascii="Gill Sans MT" w:hAnsi="Gill Sans MT"/>
          <w:sz w:val="22"/>
          <w:szCs w:val="22"/>
        </w:rPr>
        <w:t>Foreign Direct Investment (FDI) is an overseas investment</w:t>
      </w:r>
      <w:r w:rsidR="00F45E98">
        <w:rPr>
          <w:rFonts w:ascii="Gill Sans MT" w:hAnsi="Gill Sans MT"/>
          <w:sz w:val="22"/>
          <w:szCs w:val="22"/>
        </w:rPr>
        <w:t xml:space="preserve">, where a domestic company buys or starts a company </w:t>
      </w:r>
      <w:r w:rsidR="00C3071D">
        <w:rPr>
          <w:rFonts w:ascii="Gill Sans MT" w:hAnsi="Gill Sans MT"/>
          <w:sz w:val="22"/>
          <w:szCs w:val="22"/>
        </w:rPr>
        <w:t>abroad</w:t>
      </w:r>
      <w:r w:rsidR="00F45E98">
        <w:rPr>
          <w:rFonts w:ascii="Gill Sans MT" w:hAnsi="Gill Sans MT"/>
          <w:sz w:val="22"/>
          <w:szCs w:val="22"/>
        </w:rPr>
        <w:t xml:space="preserve">. </w:t>
      </w:r>
      <w:r w:rsidR="00636F78">
        <w:rPr>
          <w:rFonts w:ascii="Gill Sans MT" w:hAnsi="Gill Sans MT"/>
          <w:sz w:val="22"/>
          <w:szCs w:val="22"/>
        </w:rPr>
        <w:t xml:space="preserve">Brexit was expected to reform regulations around trade and FDI. </w:t>
      </w:r>
      <w:r w:rsidR="0057404B">
        <w:rPr>
          <w:rFonts w:ascii="Gill Sans MT" w:hAnsi="Gill Sans MT"/>
          <w:sz w:val="22"/>
          <w:szCs w:val="22"/>
        </w:rPr>
        <w:t xml:space="preserve">A paper by </w:t>
      </w:r>
      <w:r w:rsidR="001E1398">
        <w:rPr>
          <w:rFonts w:ascii="Gill Sans MT" w:hAnsi="Gill Sans MT"/>
          <w:sz w:val="22"/>
          <w:szCs w:val="22"/>
        </w:rPr>
        <w:t xml:space="preserve">McGrattan and Waddle (2020) </w:t>
      </w:r>
      <w:r w:rsidR="00EA466F">
        <w:rPr>
          <w:rFonts w:ascii="Gill Sans MT" w:hAnsi="Gill Sans MT"/>
          <w:sz w:val="22"/>
          <w:szCs w:val="22"/>
        </w:rPr>
        <w:t xml:space="preserve">aims to predict </w:t>
      </w:r>
      <w:r w:rsidR="005E1B6A">
        <w:rPr>
          <w:rFonts w:ascii="Gill Sans MT" w:hAnsi="Gill Sans MT"/>
          <w:sz w:val="22"/>
          <w:szCs w:val="22"/>
        </w:rPr>
        <w:t>whether</w:t>
      </w:r>
      <w:r w:rsidR="00EA466F">
        <w:rPr>
          <w:rFonts w:ascii="Gill Sans MT" w:hAnsi="Gill Sans MT"/>
          <w:sz w:val="22"/>
          <w:szCs w:val="22"/>
        </w:rPr>
        <w:t xml:space="preserve"> </w:t>
      </w:r>
      <w:r w:rsidR="0046249A">
        <w:rPr>
          <w:rFonts w:ascii="Gill Sans MT" w:hAnsi="Gill Sans MT"/>
          <w:sz w:val="22"/>
          <w:szCs w:val="22"/>
        </w:rPr>
        <w:t xml:space="preserve">changes to </w:t>
      </w:r>
      <w:r w:rsidR="00F07A18">
        <w:rPr>
          <w:rFonts w:ascii="Gill Sans MT" w:hAnsi="Gill Sans MT"/>
          <w:sz w:val="22"/>
          <w:szCs w:val="22"/>
        </w:rPr>
        <w:t xml:space="preserve">FDI </w:t>
      </w:r>
      <w:r w:rsidR="005E1B6A">
        <w:rPr>
          <w:rFonts w:ascii="Gill Sans MT" w:hAnsi="Gill Sans MT"/>
          <w:sz w:val="22"/>
          <w:szCs w:val="22"/>
        </w:rPr>
        <w:t>or</w:t>
      </w:r>
      <w:r w:rsidR="009A0541">
        <w:rPr>
          <w:rFonts w:ascii="Gill Sans MT" w:hAnsi="Gill Sans MT"/>
          <w:sz w:val="22"/>
          <w:szCs w:val="22"/>
        </w:rPr>
        <w:t xml:space="preserve"> trade </w:t>
      </w:r>
      <w:r w:rsidR="00EA466F">
        <w:rPr>
          <w:rFonts w:ascii="Gill Sans MT" w:hAnsi="Gill Sans MT"/>
          <w:sz w:val="22"/>
          <w:szCs w:val="22"/>
        </w:rPr>
        <w:t>regulations</w:t>
      </w:r>
      <w:r w:rsidR="009A0541">
        <w:rPr>
          <w:rFonts w:ascii="Gill Sans MT" w:hAnsi="Gill Sans MT"/>
          <w:sz w:val="22"/>
          <w:szCs w:val="22"/>
        </w:rPr>
        <w:t xml:space="preserve"> </w:t>
      </w:r>
      <w:r w:rsidR="005E1B6A">
        <w:rPr>
          <w:rFonts w:ascii="Gill Sans MT" w:hAnsi="Gill Sans MT"/>
          <w:sz w:val="22"/>
          <w:szCs w:val="22"/>
        </w:rPr>
        <w:t>are more significant in changing</w:t>
      </w:r>
      <w:r w:rsidR="00EA466F">
        <w:rPr>
          <w:rFonts w:ascii="Gill Sans MT" w:hAnsi="Gill Sans MT"/>
          <w:sz w:val="22"/>
          <w:szCs w:val="22"/>
        </w:rPr>
        <w:t xml:space="preserve"> </w:t>
      </w:r>
      <w:r w:rsidR="005E1B6A">
        <w:rPr>
          <w:rFonts w:ascii="Gill Sans MT" w:hAnsi="Gill Sans MT"/>
          <w:sz w:val="22"/>
          <w:szCs w:val="22"/>
        </w:rPr>
        <w:t>welfare</w:t>
      </w:r>
      <w:r w:rsidR="00443FA1">
        <w:rPr>
          <w:rFonts w:ascii="Gill Sans MT" w:hAnsi="Gill Sans MT"/>
          <w:sz w:val="22"/>
          <w:szCs w:val="22"/>
        </w:rPr>
        <w:t xml:space="preserve">. </w:t>
      </w:r>
      <w:r w:rsidR="00744841">
        <w:rPr>
          <w:rFonts w:ascii="Gill Sans MT" w:hAnsi="Gill Sans MT"/>
          <w:sz w:val="22"/>
          <w:szCs w:val="22"/>
        </w:rPr>
        <w:t>They</w:t>
      </w:r>
      <w:r w:rsidR="00C41D8E">
        <w:rPr>
          <w:rFonts w:ascii="Gill Sans MT" w:hAnsi="Gill Sans MT"/>
          <w:sz w:val="22"/>
          <w:szCs w:val="22"/>
        </w:rPr>
        <w:t xml:space="preserve"> use a dynamic GEM to</w:t>
      </w:r>
      <w:r w:rsidR="00744841">
        <w:rPr>
          <w:rFonts w:ascii="Gill Sans MT" w:hAnsi="Gill Sans MT"/>
          <w:sz w:val="22"/>
          <w:szCs w:val="22"/>
        </w:rPr>
        <w:t xml:space="preserve"> </w:t>
      </w:r>
      <w:r w:rsidR="00286CBF">
        <w:rPr>
          <w:rFonts w:ascii="Gill Sans MT" w:hAnsi="Gill Sans MT"/>
          <w:sz w:val="22"/>
          <w:szCs w:val="22"/>
        </w:rPr>
        <w:t>model</w:t>
      </w:r>
      <w:r w:rsidR="009809B1">
        <w:rPr>
          <w:rFonts w:ascii="Gill Sans MT" w:hAnsi="Gill Sans MT"/>
          <w:sz w:val="22"/>
          <w:szCs w:val="22"/>
        </w:rPr>
        <w:t xml:space="preserve"> several</w:t>
      </w:r>
      <w:r w:rsidR="00256A51">
        <w:rPr>
          <w:rFonts w:ascii="Gill Sans MT" w:hAnsi="Gill Sans MT"/>
          <w:sz w:val="22"/>
          <w:szCs w:val="22"/>
        </w:rPr>
        <w:t xml:space="preserve"> </w:t>
      </w:r>
      <w:r w:rsidR="00286CBF">
        <w:rPr>
          <w:rFonts w:ascii="Gill Sans MT" w:hAnsi="Gill Sans MT"/>
          <w:sz w:val="22"/>
          <w:szCs w:val="22"/>
        </w:rPr>
        <w:t>scenarios</w:t>
      </w:r>
      <w:r w:rsidR="00C02E99">
        <w:rPr>
          <w:rFonts w:ascii="Gill Sans MT" w:hAnsi="Gill Sans MT"/>
          <w:sz w:val="22"/>
          <w:szCs w:val="22"/>
        </w:rPr>
        <w:t xml:space="preserve"> (</w:t>
      </w:r>
      <w:r w:rsidR="0046249A">
        <w:rPr>
          <w:rFonts w:ascii="Gill Sans MT" w:hAnsi="Gill Sans MT"/>
          <w:sz w:val="22"/>
          <w:szCs w:val="22"/>
        </w:rPr>
        <w:t xml:space="preserve">where </w:t>
      </w:r>
      <w:r w:rsidR="00C02E99">
        <w:rPr>
          <w:rFonts w:ascii="Gill Sans MT" w:hAnsi="Gill Sans MT"/>
          <w:sz w:val="22"/>
          <w:szCs w:val="22"/>
        </w:rPr>
        <w:t>FDI</w:t>
      </w:r>
      <w:r w:rsidR="00C34564">
        <w:rPr>
          <w:rFonts w:ascii="Gill Sans MT" w:hAnsi="Gill Sans MT"/>
          <w:sz w:val="22"/>
          <w:szCs w:val="22"/>
        </w:rPr>
        <w:t xml:space="preserve"> and </w:t>
      </w:r>
      <w:r w:rsidR="00C02E99">
        <w:rPr>
          <w:rFonts w:ascii="Gill Sans MT" w:hAnsi="Gill Sans MT"/>
          <w:sz w:val="22"/>
          <w:szCs w:val="22"/>
        </w:rPr>
        <w:t>trade costs increase</w:t>
      </w:r>
      <w:r w:rsidR="00C34564">
        <w:rPr>
          <w:rFonts w:ascii="Gill Sans MT" w:hAnsi="Gill Sans MT"/>
          <w:sz w:val="22"/>
          <w:szCs w:val="22"/>
        </w:rPr>
        <w:t xml:space="preserve"> individually or together</w:t>
      </w:r>
      <w:r w:rsidR="00C02E99">
        <w:rPr>
          <w:rFonts w:ascii="Gill Sans MT" w:hAnsi="Gill Sans MT"/>
          <w:sz w:val="22"/>
          <w:szCs w:val="22"/>
        </w:rPr>
        <w:t>)</w:t>
      </w:r>
      <w:r w:rsidR="006952EE">
        <w:rPr>
          <w:rFonts w:ascii="Gill Sans MT" w:hAnsi="Gill Sans MT"/>
          <w:sz w:val="22"/>
          <w:szCs w:val="22"/>
        </w:rPr>
        <w:t xml:space="preserve">, comparing </w:t>
      </w:r>
      <w:r w:rsidR="006537D2">
        <w:rPr>
          <w:rFonts w:ascii="Gill Sans MT" w:hAnsi="Gill Sans MT"/>
          <w:sz w:val="22"/>
          <w:szCs w:val="22"/>
        </w:rPr>
        <w:t>scenarios where the</w:t>
      </w:r>
      <w:r w:rsidR="006952EE">
        <w:rPr>
          <w:rFonts w:ascii="Gill Sans MT" w:hAnsi="Gill Sans MT"/>
          <w:sz w:val="22"/>
          <w:szCs w:val="22"/>
        </w:rPr>
        <w:t xml:space="preserve"> </w:t>
      </w:r>
      <w:r w:rsidR="00A10653">
        <w:rPr>
          <w:rFonts w:ascii="Gill Sans MT" w:hAnsi="Gill Sans MT"/>
          <w:sz w:val="22"/>
          <w:szCs w:val="22"/>
        </w:rPr>
        <w:t>UK tightens restriction</w:t>
      </w:r>
      <w:r w:rsidR="007053E0">
        <w:rPr>
          <w:rFonts w:ascii="Gill Sans MT" w:hAnsi="Gill Sans MT"/>
          <w:sz w:val="22"/>
          <w:szCs w:val="22"/>
        </w:rPr>
        <w:t>s</w:t>
      </w:r>
      <w:r w:rsidR="00A10653">
        <w:rPr>
          <w:rFonts w:ascii="Gill Sans MT" w:hAnsi="Gill Sans MT"/>
          <w:sz w:val="22"/>
          <w:szCs w:val="22"/>
        </w:rPr>
        <w:t xml:space="preserve"> unilaterally </w:t>
      </w:r>
      <w:r w:rsidR="007053E0">
        <w:rPr>
          <w:rFonts w:ascii="Gill Sans MT" w:hAnsi="Gill Sans MT"/>
          <w:sz w:val="22"/>
          <w:szCs w:val="22"/>
        </w:rPr>
        <w:t>against</w:t>
      </w:r>
      <w:r w:rsidR="00D376DC">
        <w:rPr>
          <w:rFonts w:ascii="Gill Sans MT" w:hAnsi="Gill Sans MT"/>
          <w:sz w:val="22"/>
          <w:szCs w:val="22"/>
        </w:rPr>
        <w:t xml:space="preserve"> if the EU retaliate.</w:t>
      </w:r>
      <w:r w:rsidR="00512BE6">
        <w:rPr>
          <w:rFonts w:ascii="Gill Sans MT" w:hAnsi="Gill Sans MT"/>
          <w:sz w:val="22"/>
          <w:szCs w:val="22"/>
        </w:rPr>
        <w:t xml:space="preserve"> </w:t>
      </w:r>
      <w:r w:rsidR="00E07D3E">
        <w:rPr>
          <w:rFonts w:ascii="Gill Sans MT" w:hAnsi="Gill Sans MT"/>
          <w:sz w:val="22"/>
          <w:szCs w:val="22"/>
        </w:rPr>
        <w:t xml:space="preserve">In their model, </w:t>
      </w:r>
      <w:r w:rsidR="00B51B7B">
        <w:rPr>
          <w:rFonts w:ascii="Gill Sans MT" w:hAnsi="Gill Sans MT"/>
          <w:sz w:val="22"/>
          <w:szCs w:val="22"/>
        </w:rPr>
        <w:t>welfare losses are greater in scenarios</w:t>
      </w:r>
      <w:r w:rsidR="004B1DE3">
        <w:rPr>
          <w:rFonts w:ascii="Gill Sans MT" w:hAnsi="Gill Sans MT"/>
          <w:sz w:val="22"/>
          <w:szCs w:val="22"/>
        </w:rPr>
        <w:t xml:space="preserve"> where only FDI costs increase </w:t>
      </w:r>
      <w:r w:rsidR="00B51B7B">
        <w:rPr>
          <w:rFonts w:ascii="Gill Sans MT" w:hAnsi="Gill Sans MT"/>
          <w:sz w:val="22"/>
          <w:szCs w:val="22"/>
        </w:rPr>
        <w:t xml:space="preserve">than in </w:t>
      </w:r>
      <w:r w:rsidR="002F1F26">
        <w:rPr>
          <w:rFonts w:ascii="Gill Sans MT" w:hAnsi="Gill Sans MT"/>
          <w:sz w:val="22"/>
          <w:szCs w:val="22"/>
        </w:rPr>
        <w:t xml:space="preserve">scenarios where </w:t>
      </w:r>
      <w:r w:rsidR="00C02E99">
        <w:rPr>
          <w:rFonts w:ascii="Gill Sans MT" w:hAnsi="Gill Sans MT"/>
          <w:sz w:val="22"/>
          <w:szCs w:val="22"/>
        </w:rPr>
        <w:t xml:space="preserve">only </w:t>
      </w:r>
      <w:r w:rsidR="002F1F26">
        <w:rPr>
          <w:rFonts w:ascii="Gill Sans MT" w:hAnsi="Gill Sans MT"/>
          <w:sz w:val="22"/>
          <w:szCs w:val="22"/>
        </w:rPr>
        <w:t>trade costs increase.</w:t>
      </w:r>
      <w:r w:rsidR="004B1DE3">
        <w:rPr>
          <w:rFonts w:ascii="Gill Sans MT" w:hAnsi="Gill Sans MT"/>
          <w:sz w:val="22"/>
          <w:szCs w:val="22"/>
        </w:rPr>
        <w:t xml:space="preserve"> </w:t>
      </w:r>
      <w:r w:rsidR="00715B7D">
        <w:rPr>
          <w:rFonts w:ascii="Gill Sans MT" w:hAnsi="Gill Sans MT"/>
          <w:sz w:val="22"/>
          <w:szCs w:val="22"/>
        </w:rPr>
        <w:t xml:space="preserve">When the </w:t>
      </w:r>
      <w:r w:rsidR="00C664AC" w:rsidRPr="00715B7D">
        <w:rPr>
          <w:rFonts w:ascii="Gill Sans MT" w:hAnsi="Gill Sans MT"/>
          <w:sz w:val="22"/>
          <w:szCs w:val="22"/>
        </w:rPr>
        <w:t xml:space="preserve">UK unilaterally </w:t>
      </w:r>
      <w:r w:rsidR="00186ACD" w:rsidRPr="00715B7D">
        <w:rPr>
          <w:rFonts w:ascii="Gill Sans MT" w:hAnsi="Gill Sans MT"/>
          <w:sz w:val="22"/>
          <w:szCs w:val="22"/>
        </w:rPr>
        <w:t>restricts</w:t>
      </w:r>
      <w:r w:rsidR="00C664AC" w:rsidRPr="00715B7D">
        <w:rPr>
          <w:rFonts w:ascii="Gill Sans MT" w:hAnsi="Gill Sans MT"/>
          <w:sz w:val="22"/>
          <w:szCs w:val="22"/>
        </w:rPr>
        <w:t xml:space="preserve"> </w:t>
      </w:r>
      <w:r w:rsidR="00715B7D">
        <w:rPr>
          <w:rFonts w:ascii="Gill Sans MT" w:hAnsi="Gill Sans MT"/>
          <w:sz w:val="22"/>
          <w:szCs w:val="22"/>
        </w:rPr>
        <w:t xml:space="preserve">both </w:t>
      </w:r>
      <w:r w:rsidR="00C664AC" w:rsidRPr="00715B7D">
        <w:rPr>
          <w:rFonts w:ascii="Gill Sans MT" w:hAnsi="Gill Sans MT"/>
          <w:sz w:val="22"/>
          <w:szCs w:val="22"/>
        </w:rPr>
        <w:t xml:space="preserve">FDI </w:t>
      </w:r>
      <w:r w:rsidR="00186ACD" w:rsidRPr="00715B7D">
        <w:rPr>
          <w:rFonts w:ascii="Gill Sans MT" w:hAnsi="Gill Sans MT"/>
          <w:sz w:val="22"/>
          <w:szCs w:val="22"/>
        </w:rPr>
        <w:t>and trade</w:t>
      </w:r>
      <w:r w:rsidR="00E64223" w:rsidRPr="00715B7D">
        <w:rPr>
          <w:rFonts w:ascii="Gill Sans MT" w:hAnsi="Gill Sans MT"/>
          <w:sz w:val="22"/>
          <w:szCs w:val="22"/>
        </w:rPr>
        <w:t xml:space="preserve"> from EU nations</w:t>
      </w:r>
      <w:r w:rsidR="0014661D" w:rsidRPr="00715B7D">
        <w:rPr>
          <w:rFonts w:ascii="Gill Sans MT" w:hAnsi="Gill Sans MT"/>
          <w:sz w:val="22"/>
          <w:szCs w:val="22"/>
        </w:rPr>
        <w:t>, UK welfare falls by 2.41% and EU welfare falls by only 0.02%.</w:t>
      </w:r>
      <w:r w:rsidR="00B51B7B">
        <w:rPr>
          <w:rFonts w:ascii="Gill Sans MT" w:hAnsi="Gill Sans MT"/>
          <w:sz w:val="22"/>
          <w:szCs w:val="22"/>
        </w:rPr>
        <w:t xml:space="preserve"> </w:t>
      </w:r>
      <w:r w:rsidR="00715B7D">
        <w:rPr>
          <w:rFonts w:ascii="Gill Sans MT" w:hAnsi="Gill Sans MT"/>
          <w:sz w:val="22"/>
          <w:szCs w:val="22"/>
        </w:rPr>
        <w:t xml:space="preserve">When the </w:t>
      </w:r>
      <w:r w:rsidR="00C664AC" w:rsidRPr="00715B7D">
        <w:rPr>
          <w:rFonts w:ascii="Gill Sans MT" w:hAnsi="Gill Sans MT"/>
          <w:sz w:val="22"/>
          <w:szCs w:val="22"/>
        </w:rPr>
        <w:t xml:space="preserve">EU retaliates </w:t>
      </w:r>
      <w:r w:rsidR="00E64223" w:rsidRPr="00715B7D">
        <w:rPr>
          <w:rFonts w:ascii="Gill Sans MT" w:hAnsi="Gill Sans MT"/>
          <w:sz w:val="22"/>
          <w:szCs w:val="22"/>
        </w:rPr>
        <w:t>with the same restrictions on the UK</w:t>
      </w:r>
      <w:r w:rsidR="00715B7D">
        <w:rPr>
          <w:rFonts w:ascii="Gill Sans MT" w:hAnsi="Gill Sans MT"/>
          <w:sz w:val="22"/>
          <w:szCs w:val="22"/>
        </w:rPr>
        <w:t>, b</w:t>
      </w:r>
      <w:r w:rsidR="00E725A1" w:rsidRPr="00715B7D">
        <w:rPr>
          <w:rFonts w:ascii="Gill Sans MT" w:hAnsi="Gill Sans MT"/>
          <w:sz w:val="22"/>
          <w:szCs w:val="22"/>
        </w:rPr>
        <w:t>oth countries lose</w:t>
      </w:r>
      <w:r w:rsidR="002C22B8">
        <w:rPr>
          <w:rFonts w:ascii="Gill Sans MT" w:hAnsi="Gill Sans MT"/>
          <w:sz w:val="22"/>
          <w:szCs w:val="22"/>
        </w:rPr>
        <w:t>;</w:t>
      </w:r>
      <w:r w:rsidR="006C2DC6" w:rsidRPr="00715B7D">
        <w:rPr>
          <w:rFonts w:ascii="Gill Sans MT" w:hAnsi="Gill Sans MT"/>
          <w:sz w:val="22"/>
          <w:szCs w:val="22"/>
        </w:rPr>
        <w:t xml:space="preserve"> UK welfare falls by 1.4% and EU welfare by 2.3%.</w:t>
      </w:r>
      <w:r w:rsidR="00512BE6">
        <w:rPr>
          <w:rFonts w:ascii="Gill Sans MT" w:hAnsi="Gill Sans MT"/>
          <w:sz w:val="22"/>
          <w:szCs w:val="22"/>
        </w:rPr>
        <w:t xml:space="preserve"> </w:t>
      </w:r>
      <w:r w:rsidR="00032611">
        <w:rPr>
          <w:rFonts w:ascii="Gill Sans MT" w:hAnsi="Gill Sans MT"/>
          <w:sz w:val="22"/>
          <w:szCs w:val="22"/>
        </w:rPr>
        <w:t>The</w:t>
      </w:r>
      <w:r w:rsidR="006C2C05">
        <w:rPr>
          <w:rFonts w:ascii="Gill Sans MT" w:hAnsi="Gill Sans MT"/>
          <w:sz w:val="22"/>
          <w:szCs w:val="22"/>
        </w:rPr>
        <w:t xml:space="preserve"> </w:t>
      </w:r>
      <w:r w:rsidR="00F91E61">
        <w:rPr>
          <w:rFonts w:ascii="Gill Sans MT" w:hAnsi="Gill Sans MT"/>
          <w:sz w:val="22"/>
          <w:szCs w:val="22"/>
        </w:rPr>
        <w:t>UK’s optimal response, when faced with EU retaliation, would be to reduce re</w:t>
      </w:r>
      <w:r w:rsidR="00605D34">
        <w:rPr>
          <w:rFonts w:ascii="Gill Sans MT" w:hAnsi="Gill Sans MT"/>
          <w:sz w:val="22"/>
          <w:szCs w:val="22"/>
        </w:rPr>
        <w:t>strictions to non-EU nations</w:t>
      </w:r>
      <w:r w:rsidR="00DB75DA">
        <w:rPr>
          <w:rFonts w:ascii="Gill Sans MT" w:hAnsi="Gill Sans MT"/>
          <w:sz w:val="22"/>
          <w:szCs w:val="22"/>
        </w:rPr>
        <w:t xml:space="preserve"> – an idea </w:t>
      </w:r>
      <w:r w:rsidR="003327AD">
        <w:rPr>
          <w:rFonts w:ascii="Gill Sans MT" w:hAnsi="Gill Sans MT"/>
          <w:sz w:val="22"/>
          <w:szCs w:val="22"/>
        </w:rPr>
        <w:t>expressed by</w:t>
      </w:r>
      <w:r w:rsidR="00DB75DA">
        <w:rPr>
          <w:rFonts w:ascii="Gill Sans MT" w:hAnsi="Gill Sans MT"/>
          <w:sz w:val="22"/>
          <w:szCs w:val="22"/>
        </w:rPr>
        <w:t xml:space="preserve"> </w:t>
      </w:r>
      <w:r w:rsidR="00A11132">
        <w:rPr>
          <w:rFonts w:ascii="Gill Sans MT" w:hAnsi="Gill Sans MT"/>
          <w:sz w:val="22"/>
          <w:szCs w:val="22"/>
        </w:rPr>
        <w:t>politicians in the ‘leave’ camp</w:t>
      </w:r>
      <w:r w:rsidR="00186ACD" w:rsidRPr="00894731">
        <w:rPr>
          <w:rFonts w:ascii="Gill Sans MT" w:hAnsi="Gill Sans MT"/>
          <w:sz w:val="22"/>
          <w:szCs w:val="22"/>
        </w:rPr>
        <w:t>.</w:t>
      </w:r>
      <w:r w:rsidR="001404B6" w:rsidRPr="00894731">
        <w:rPr>
          <w:rFonts w:ascii="Gill Sans MT" w:hAnsi="Gill Sans MT"/>
          <w:sz w:val="22"/>
          <w:szCs w:val="22"/>
        </w:rPr>
        <w:t xml:space="preserve"> </w:t>
      </w:r>
      <w:r w:rsidR="006863AF">
        <w:rPr>
          <w:rFonts w:ascii="Gill Sans MT" w:hAnsi="Gill Sans MT"/>
          <w:sz w:val="22"/>
          <w:szCs w:val="22"/>
        </w:rPr>
        <w:t>They predict tha</w:t>
      </w:r>
      <w:r w:rsidR="00387820">
        <w:rPr>
          <w:rFonts w:ascii="Gill Sans MT" w:hAnsi="Gill Sans MT"/>
          <w:sz w:val="22"/>
          <w:szCs w:val="22"/>
        </w:rPr>
        <w:t xml:space="preserve">t UK welfare </w:t>
      </w:r>
      <w:r w:rsidR="002E1D4E">
        <w:rPr>
          <w:rFonts w:ascii="Gill Sans MT" w:hAnsi="Gill Sans MT"/>
          <w:sz w:val="22"/>
          <w:szCs w:val="22"/>
        </w:rPr>
        <w:t>would</w:t>
      </w:r>
      <w:r w:rsidR="00387820">
        <w:rPr>
          <w:rFonts w:ascii="Gill Sans MT" w:hAnsi="Gill Sans MT"/>
          <w:sz w:val="22"/>
          <w:szCs w:val="22"/>
        </w:rPr>
        <w:t xml:space="preserve"> increase by 0.72%</w:t>
      </w:r>
      <w:r w:rsidR="00A81E5F">
        <w:rPr>
          <w:rFonts w:ascii="Gill Sans MT" w:hAnsi="Gill Sans MT"/>
          <w:sz w:val="22"/>
          <w:szCs w:val="22"/>
        </w:rPr>
        <w:t xml:space="preserve"> if </w:t>
      </w:r>
      <w:r w:rsidR="002C22B8">
        <w:rPr>
          <w:rFonts w:ascii="Gill Sans MT" w:hAnsi="Gill Sans MT"/>
          <w:sz w:val="22"/>
          <w:szCs w:val="22"/>
        </w:rPr>
        <w:t xml:space="preserve">favourable </w:t>
      </w:r>
      <w:r w:rsidR="00A81E5F">
        <w:rPr>
          <w:rFonts w:ascii="Gill Sans MT" w:hAnsi="Gill Sans MT"/>
          <w:sz w:val="22"/>
          <w:szCs w:val="22"/>
        </w:rPr>
        <w:t>reductions appl</w:t>
      </w:r>
      <w:r w:rsidR="002E1D4E">
        <w:rPr>
          <w:rFonts w:ascii="Gill Sans MT" w:hAnsi="Gill Sans MT"/>
          <w:sz w:val="22"/>
          <w:szCs w:val="22"/>
        </w:rPr>
        <w:t>ied</w:t>
      </w:r>
      <w:r w:rsidR="00A81E5F">
        <w:rPr>
          <w:rFonts w:ascii="Gill Sans MT" w:hAnsi="Gill Sans MT"/>
          <w:sz w:val="22"/>
          <w:szCs w:val="22"/>
        </w:rPr>
        <w:t xml:space="preserve"> to</w:t>
      </w:r>
      <w:r w:rsidR="00387820">
        <w:rPr>
          <w:rFonts w:ascii="Gill Sans MT" w:hAnsi="Gill Sans MT"/>
          <w:sz w:val="22"/>
          <w:szCs w:val="22"/>
        </w:rPr>
        <w:t xml:space="preserve"> </w:t>
      </w:r>
      <w:r w:rsidR="00A81E5F">
        <w:rPr>
          <w:rFonts w:ascii="Gill Sans MT" w:hAnsi="Gill Sans MT"/>
          <w:sz w:val="22"/>
          <w:szCs w:val="22"/>
        </w:rPr>
        <w:t xml:space="preserve">the United States and Canada, or 1.27% if the reductions </w:t>
      </w:r>
      <w:r w:rsidR="002E1D4E">
        <w:rPr>
          <w:rFonts w:ascii="Gill Sans MT" w:hAnsi="Gill Sans MT"/>
          <w:sz w:val="22"/>
          <w:szCs w:val="22"/>
        </w:rPr>
        <w:t>were</w:t>
      </w:r>
      <w:r w:rsidR="002C5E0B">
        <w:rPr>
          <w:rFonts w:ascii="Gill Sans MT" w:hAnsi="Gill Sans MT"/>
          <w:sz w:val="22"/>
          <w:szCs w:val="22"/>
        </w:rPr>
        <w:t xml:space="preserve"> applied globally</w:t>
      </w:r>
      <w:r w:rsidR="00A81E5F">
        <w:rPr>
          <w:rFonts w:ascii="Gill Sans MT" w:hAnsi="Gill Sans MT"/>
          <w:sz w:val="22"/>
          <w:szCs w:val="22"/>
        </w:rPr>
        <w:t xml:space="preserve">. </w:t>
      </w:r>
      <w:r w:rsidR="0037190F">
        <w:rPr>
          <w:rFonts w:ascii="Gill Sans MT" w:hAnsi="Gill Sans MT"/>
          <w:sz w:val="22"/>
          <w:szCs w:val="22"/>
        </w:rPr>
        <w:t xml:space="preserve">The UK would ‘replace </w:t>
      </w:r>
      <w:r w:rsidR="00142D31">
        <w:rPr>
          <w:rFonts w:ascii="Gill Sans MT" w:hAnsi="Gill Sans MT"/>
          <w:sz w:val="22"/>
          <w:szCs w:val="22"/>
        </w:rPr>
        <w:t xml:space="preserve">an </w:t>
      </w:r>
      <w:r w:rsidR="0037190F">
        <w:rPr>
          <w:rFonts w:ascii="Gill Sans MT" w:hAnsi="Gill Sans MT"/>
          <w:sz w:val="22"/>
          <w:szCs w:val="22"/>
        </w:rPr>
        <w:t xml:space="preserve">old partner with a relatively low level of </w:t>
      </w:r>
      <w:r w:rsidR="000E1BD0">
        <w:rPr>
          <w:rFonts w:ascii="Gill Sans MT" w:hAnsi="Gill Sans MT"/>
          <w:sz w:val="22"/>
          <w:szCs w:val="22"/>
        </w:rPr>
        <w:t>total factor productivity (</w:t>
      </w:r>
      <w:r w:rsidR="0037190F">
        <w:rPr>
          <w:rFonts w:ascii="Gill Sans MT" w:hAnsi="Gill Sans MT"/>
          <w:sz w:val="22"/>
          <w:szCs w:val="22"/>
        </w:rPr>
        <w:t>TFP</w:t>
      </w:r>
      <w:r w:rsidR="000E1BD0">
        <w:rPr>
          <w:rFonts w:ascii="Gill Sans MT" w:hAnsi="Gill Sans MT"/>
          <w:sz w:val="22"/>
          <w:szCs w:val="22"/>
        </w:rPr>
        <w:t>)</w:t>
      </w:r>
      <w:r w:rsidR="0037190F">
        <w:rPr>
          <w:rFonts w:ascii="Gill Sans MT" w:hAnsi="Gill Sans MT"/>
          <w:sz w:val="22"/>
          <w:szCs w:val="22"/>
        </w:rPr>
        <w:t xml:space="preserve"> with a new partner</w:t>
      </w:r>
      <w:r w:rsidR="0013382C">
        <w:rPr>
          <w:rFonts w:ascii="Gill Sans MT" w:hAnsi="Gill Sans MT"/>
          <w:sz w:val="22"/>
          <w:szCs w:val="22"/>
        </w:rPr>
        <w:t>… with…</w:t>
      </w:r>
      <w:r w:rsidR="0037190F">
        <w:rPr>
          <w:rFonts w:ascii="Gill Sans MT" w:hAnsi="Gill Sans MT"/>
          <w:sz w:val="22"/>
          <w:szCs w:val="22"/>
        </w:rPr>
        <w:t xml:space="preserve"> a higher level of TFP.’</w:t>
      </w:r>
      <w:r w:rsidR="00943C2D">
        <w:rPr>
          <w:rFonts w:ascii="Gill Sans MT" w:hAnsi="Gill Sans MT"/>
          <w:sz w:val="22"/>
          <w:szCs w:val="22"/>
        </w:rPr>
        <w:t xml:space="preserve"> </w:t>
      </w:r>
      <w:r w:rsidR="008016B0">
        <w:rPr>
          <w:rFonts w:ascii="Gill Sans MT" w:hAnsi="Gill Sans MT"/>
          <w:sz w:val="22"/>
          <w:szCs w:val="22"/>
        </w:rPr>
        <w:t xml:space="preserve">This represents another motive </w:t>
      </w:r>
      <w:r w:rsidR="002E1D4E">
        <w:rPr>
          <w:rFonts w:ascii="Gill Sans MT" w:hAnsi="Gill Sans MT"/>
          <w:sz w:val="22"/>
          <w:szCs w:val="22"/>
        </w:rPr>
        <w:t>for</w:t>
      </w:r>
      <w:r w:rsidR="0013382C">
        <w:rPr>
          <w:rFonts w:ascii="Gill Sans MT" w:hAnsi="Gill Sans MT"/>
          <w:sz w:val="22"/>
          <w:szCs w:val="22"/>
        </w:rPr>
        <w:t xml:space="preserve"> Brexit</w:t>
      </w:r>
      <w:r w:rsidR="001F0526">
        <w:rPr>
          <w:rFonts w:ascii="Gill Sans MT" w:hAnsi="Gill Sans MT"/>
          <w:sz w:val="22"/>
          <w:szCs w:val="22"/>
        </w:rPr>
        <w:t>.</w:t>
      </w:r>
    </w:p>
    <w:p w14:paraId="2DCF8174" w14:textId="27232040" w:rsidR="000D0C58" w:rsidRDefault="000D0C58" w:rsidP="000D0C5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&lt; Insert Map 1 here &gt;</w:t>
      </w:r>
    </w:p>
    <w:p w14:paraId="5B36CD7D" w14:textId="5451A3CE" w:rsidR="00DD0B40" w:rsidRPr="00894731" w:rsidRDefault="00A630A3" w:rsidP="00561D6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After the referendum, a paradoxical phenomenon occurred </w:t>
      </w:r>
      <w:r w:rsidR="00561D68">
        <w:rPr>
          <w:rFonts w:ascii="Gill Sans MT" w:hAnsi="Gill Sans MT"/>
          <w:sz w:val="22"/>
          <w:szCs w:val="22"/>
        </w:rPr>
        <w:t>where output in UK tradable sectors temporarily increased</w:t>
      </w:r>
      <w:r>
        <w:rPr>
          <w:rFonts w:ascii="Gill Sans MT" w:hAnsi="Gill Sans MT"/>
          <w:sz w:val="22"/>
          <w:szCs w:val="22"/>
        </w:rPr>
        <w:t>.</w:t>
      </w:r>
      <w:r w:rsidR="00561D68">
        <w:rPr>
          <w:rFonts w:ascii="Gill Sans MT" w:hAnsi="Gill Sans MT"/>
          <w:sz w:val="22"/>
          <w:szCs w:val="22"/>
        </w:rPr>
        <w:t xml:space="preserve"> </w:t>
      </w:r>
      <w:r w:rsidR="00386642">
        <w:rPr>
          <w:rFonts w:ascii="Gill Sans MT" w:hAnsi="Gill Sans MT"/>
          <w:sz w:val="22"/>
          <w:szCs w:val="22"/>
        </w:rPr>
        <w:t xml:space="preserve">A paper by Broadbent et al. (2024) </w:t>
      </w:r>
      <w:r w:rsidR="00BD43E5">
        <w:rPr>
          <w:rFonts w:ascii="Gill Sans MT" w:hAnsi="Gill Sans MT"/>
          <w:sz w:val="22"/>
          <w:szCs w:val="22"/>
        </w:rPr>
        <w:t xml:space="preserve">offers an explanation: </w:t>
      </w:r>
      <w:r w:rsidR="00A03569">
        <w:rPr>
          <w:rFonts w:ascii="Gill Sans MT" w:hAnsi="Gill Sans MT"/>
          <w:sz w:val="22"/>
          <w:szCs w:val="22"/>
        </w:rPr>
        <w:t>a</w:t>
      </w:r>
      <w:r w:rsidR="0082165A">
        <w:rPr>
          <w:rFonts w:ascii="Gill Sans MT" w:hAnsi="Gill Sans MT"/>
          <w:sz w:val="22"/>
          <w:szCs w:val="22"/>
        </w:rPr>
        <w:t xml:space="preserve"> temporary</w:t>
      </w:r>
      <w:r w:rsidR="00A03569">
        <w:rPr>
          <w:rFonts w:ascii="Gill Sans MT" w:hAnsi="Gill Sans MT"/>
          <w:sz w:val="22"/>
          <w:szCs w:val="22"/>
        </w:rPr>
        <w:t xml:space="preserve"> ‘sweet spot’</w:t>
      </w:r>
      <w:r w:rsidR="0082165A">
        <w:rPr>
          <w:rFonts w:ascii="Gill Sans MT" w:hAnsi="Gill Sans MT"/>
          <w:sz w:val="22"/>
          <w:szCs w:val="22"/>
        </w:rPr>
        <w:t xml:space="preserve"> emerged</w:t>
      </w:r>
      <w:r w:rsidR="00A03569">
        <w:rPr>
          <w:rFonts w:ascii="Gill Sans MT" w:hAnsi="Gill Sans MT"/>
          <w:sz w:val="22"/>
          <w:szCs w:val="22"/>
        </w:rPr>
        <w:t xml:space="preserve"> for </w:t>
      </w:r>
      <w:r w:rsidR="0082165A">
        <w:rPr>
          <w:rFonts w:ascii="Gill Sans MT" w:hAnsi="Gill Sans MT"/>
          <w:sz w:val="22"/>
          <w:szCs w:val="22"/>
        </w:rPr>
        <w:t xml:space="preserve">UK </w:t>
      </w:r>
      <w:r w:rsidR="00A03569">
        <w:rPr>
          <w:rFonts w:ascii="Gill Sans MT" w:hAnsi="Gill Sans MT"/>
          <w:sz w:val="22"/>
          <w:szCs w:val="22"/>
        </w:rPr>
        <w:t>exporter</w:t>
      </w:r>
      <w:r w:rsidR="0082165A">
        <w:rPr>
          <w:rFonts w:ascii="Gill Sans MT" w:hAnsi="Gill Sans MT"/>
          <w:sz w:val="22"/>
          <w:szCs w:val="22"/>
        </w:rPr>
        <w:t>s.</w:t>
      </w:r>
      <w:r w:rsidR="00B45F04">
        <w:rPr>
          <w:rFonts w:ascii="Gill Sans MT" w:hAnsi="Gill Sans MT"/>
          <w:sz w:val="22"/>
          <w:szCs w:val="22"/>
        </w:rPr>
        <w:t xml:space="preserve"> </w:t>
      </w:r>
      <w:r w:rsidR="00251453">
        <w:rPr>
          <w:rFonts w:ascii="Gill Sans MT" w:hAnsi="Gill Sans MT"/>
          <w:sz w:val="22"/>
          <w:szCs w:val="22"/>
        </w:rPr>
        <w:t>The</w:t>
      </w:r>
      <w:r w:rsidR="00EA5AF4">
        <w:rPr>
          <w:rFonts w:ascii="Gill Sans MT" w:hAnsi="Gill Sans MT"/>
          <w:sz w:val="22"/>
          <w:szCs w:val="22"/>
        </w:rPr>
        <w:t>y assume the</w:t>
      </w:r>
      <w:r w:rsidR="00251453">
        <w:rPr>
          <w:rFonts w:ascii="Gill Sans MT" w:hAnsi="Gill Sans MT"/>
          <w:sz w:val="22"/>
          <w:szCs w:val="22"/>
        </w:rPr>
        <w:t xml:space="preserve"> </w:t>
      </w:r>
      <w:r w:rsidR="000C2882">
        <w:rPr>
          <w:rFonts w:ascii="Gill Sans MT" w:hAnsi="Gill Sans MT"/>
          <w:sz w:val="22"/>
          <w:szCs w:val="22"/>
        </w:rPr>
        <w:t xml:space="preserve">referendum result </w:t>
      </w:r>
      <w:r w:rsidR="00EA5AF4">
        <w:rPr>
          <w:rFonts w:ascii="Gill Sans MT" w:hAnsi="Gill Sans MT"/>
          <w:sz w:val="22"/>
          <w:szCs w:val="22"/>
        </w:rPr>
        <w:t>was</w:t>
      </w:r>
      <w:r w:rsidR="000C2882">
        <w:rPr>
          <w:rFonts w:ascii="Gill Sans MT" w:hAnsi="Gill Sans MT"/>
          <w:sz w:val="22"/>
          <w:szCs w:val="22"/>
        </w:rPr>
        <w:t xml:space="preserve"> perceived as a future reduction in productivity </w:t>
      </w:r>
      <w:r w:rsidR="008B2831">
        <w:rPr>
          <w:rFonts w:ascii="Gill Sans MT" w:hAnsi="Gill Sans MT"/>
          <w:sz w:val="22"/>
          <w:szCs w:val="22"/>
        </w:rPr>
        <w:t xml:space="preserve">growth </w:t>
      </w:r>
      <w:r w:rsidR="000C2882">
        <w:rPr>
          <w:rFonts w:ascii="Gill Sans MT" w:hAnsi="Gill Sans MT"/>
          <w:sz w:val="22"/>
          <w:szCs w:val="22"/>
        </w:rPr>
        <w:t xml:space="preserve">in </w:t>
      </w:r>
      <w:r w:rsidR="00050674">
        <w:rPr>
          <w:rFonts w:ascii="Gill Sans MT" w:hAnsi="Gill Sans MT"/>
          <w:sz w:val="22"/>
          <w:szCs w:val="22"/>
        </w:rPr>
        <w:t>the tradable sector.</w:t>
      </w:r>
      <w:r w:rsidR="00846C31">
        <w:rPr>
          <w:rFonts w:ascii="Gill Sans MT" w:hAnsi="Gill Sans MT"/>
          <w:sz w:val="22"/>
          <w:szCs w:val="22"/>
        </w:rPr>
        <w:t xml:space="preserve"> This</w:t>
      </w:r>
      <w:r w:rsidR="00251453">
        <w:rPr>
          <w:rFonts w:ascii="Gill Sans MT" w:hAnsi="Gill Sans MT"/>
          <w:sz w:val="22"/>
          <w:szCs w:val="22"/>
        </w:rPr>
        <w:t xml:space="preserve"> caused the relative price of </w:t>
      </w:r>
      <w:r w:rsidR="00C76F28">
        <w:rPr>
          <w:rFonts w:ascii="Gill Sans MT" w:hAnsi="Gill Sans MT"/>
          <w:sz w:val="22"/>
          <w:szCs w:val="22"/>
        </w:rPr>
        <w:t>non-</w:t>
      </w:r>
      <w:r w:rsidR="00251453">
        <w:rPr>
          <w:rFonts w:ascii="Gill Sans MT" w:hAnsi="Gill Sans MT"/>
          <w:sz w:val="22"/>
          <w:szCs w:val="22"/>
        </w:rPr>
        <w:t xml:space="preserve">tradable output to </w:t>
      </w:r>
      <w:r w:rsidR="00863E6A">
        <w:rPr>
          <w:rFonts w:ascii="Gill Sans MT" w:hAnsi="Gill Sans MT"/>
          <w:sz w:val="22"/>
          <w:szCs w:val="22"/>
        </w:rPr>
        <w:t>lower</w:t>
      </w:r>
      <w:r w:rsidR="00036ADB">
        <w:rPr>
          <w:rFonts w:ascii="Gill Sans MT" w:hAnsi="Gill Sans MT"/>
          <w:sz w:val="22"/>
          <w:szCs w:val="22"/>
        </w:rPr>
        <w:t xml:space="preserve"> (producing tradables </w:t>
      </w:r>
      <w:r w:rsidR="00EA5AF4">
        <w:rPr>
          <w:rFonts w:ascii="Gill Sans MT" w:hAnsi="Gill Sans MT"/>
          <w:sz w:val="22"/>
          <w:szCs w:val="22"/>
        </w:rPr>
        <w:t>were</w:t>
      </w:r>
      <w:r w:rsidR="00036ADB">
        <w:rPr>
          <w:rFonts w:ascii="Gill Sans MT" w:hAnsi="Gill Sans MT"/>
          <w:sz w:val="22"/>
          <w:szCs w:val="22"/>
        </w:rPr>
        <w:t xml:space="preserve"> expected to become less efficient</w:t>
      </w:r>
      <w:r w:rsidR="00EA5AF4">
        <w:rPr>
          <w:rFonts w:ascii="Gill Sans MT" w:hAnsi="Gill Sans MT"/>
          <w:sz w:val="22"/>
          <w:szCs w:val="22"/>
        </w:rPr>
        <w:t xml:space="preserve"> in the future</w:t>
      </w:r>
      <w:r w:rsidR="00036ADB">
        <w:rPr>
          <w:rFonts w:ascii="Gill Sans MT" w:hAnsi="Gill Sans MT"/>
          <w:sz w:val="22"/>
          <w:szCs w:val="22"/>
        </w:rPr>
        <w:t>, increasing their relative price</w:t>
      </w:r>
      <w:r w:rsidR="00EA5AF4">
        <w:rPr>
          <w:rFonts w:ascii="Gill Sans MT" w:hAnsi="Gill Sans MT"/>
          <w:sz w:val="22"/>
          <w:szCs w:val="22"/>
        </w:rPr>
        <w:t xml:space="preserve"> now</w:t>
      </w:r>
      <w:r w:rsidR="00157026">
        <w:rPr>
          <w:rFonts w:ascii="Gill Sans MT" w:hAnsi="Gill Sans MT"/>
          <w:sz w:val="22"/>
          <w:szCs w:val="22"/>
        </w:rPr>
        <w:t>.</w:t>
      </w:r>
      <w:r w:rsidR="00036ADB">
        <w:rPr>
          <w:rFonts w:ascii="Gill Sans MT" w:hAnsi="Gill Sans MT"/>
          <w:sz w:val="22"/>
          <w:szCs w:val="22"/>
        </w:rPr>
        <w:t>)</w:t>
      </w:r>
      <w:r w:rsidR="00157026">
        <w:rPr>
          <w:rFonts w:ascii="Gill Sans MT" w:hAnsi="Gill Sans MT"/>
          <w:sz w:val="22"/>
          <w:szCs w:val="22"/>
        </w:rPr>
        <w:t xml:space="preserve"> </w:t>
      </w:r>
      <w:r w:rsidR="00DE1B3D">
        <w:rPr>
          <w:rFonts w:ascii="Gill Sans MT" w:hAnsi="Gill Sans MT"/>
          <w:sz w:val="22"/>
          <w:szCs w:val="22"/>
        </w:rPr>
        <w:t>Th</w:t>
      </w:r>
      <w:r w:rsidR="008B2831">
        <w:rPr>
          <w:rFonts w:ascii="Gill Sans MT" w:hAnsi="Gill Sans MT"/>
          <w:sz w:val="22"/>
          <w:szCs w:val="22"/>
        </w:rPr>
        <w:t>e relative price chang</w:t>
      </w:r>
      <w:r w:rsidR="001E13B5">
        <w:rPr>
          <w:rFonts w:ascii="Gill Sans MT" w:hAnsi="Gill Sans MT"/>
          <w:sz w:val="22"/>
          <w:szCs w:val="22"/>
        </w:rPr>
        <w:t>e</w:t>
      </w:r>
      <w:r w:rsidR="00DE1B3D">
        <w:rPr>
          <w:rFonts w:ascii="Gill Sans MT" w:hAnsi="Gill Sans MT"/>
          <w:sz w:val="22"/>
          <w:szCs w:val="22"/>
        </w:rPr>
        <w:t xml:space="preserve"> incentivise</w:t>
      </w:r>
      <w:r w:rsidR="00617DF7">
        <w:rPr>
          <w:rFonts w:ascii="Gill Sans MT" w:hAnsi="Gill Sans MT"/>
          <w:sz w:val="22"/>
          <w:szCs w:val="22"/>
        </w:rPr>
        <w:t>d</w:t>
      </w:r>
      <w:r w:rsidR="00DE1B3D">
        <w:rPr>
          <w:rFonts w:ascii="Gill Sans MT" w:hAnsi="Gill Sans MT"/>
          <w:sz w:val="22"/>
          <w:szCs w:val="22"/>
        </w:rPr>
        <w:t xml:space="preserve"> a reallocation of resources into the tradable sector, to capitalise on the higher relative price</w:t>
      </w:r>
      <w:r w:rsidR="009624BA">
        <w:rPr>
          <w:rFonts w:ascii="Gill Sans MT" w:hAnsi="Gill Sans MT"/>
          <w:sz w:val="22"/>
          <w:szCs w:val="22"/>
        </w:rPr>
        <w:t>,</w:t>
      </w:r>
      <w:r w:rsidR="00DE1B3D">
        <w:rPr>
          <w:rFonts w:ascii="Gill Sans MT" w:hAnsi="Gill Sans MT"/>
          <w:sz w:val="22"/>
          <w:szCs w:val="22"/>
        </w:rPr>
        <w:t xml:space="preserve"> before Brexit</w:t>
      </w:r>
      <w:r w:rsidR="00352A9D">
        <w:rPr>
          <w:rFonts w:ascii="Gill Sans MT" w:hAnsi="Gill Sans MT"/>
          <w:sz w:val="22"/>
          <w:szCs w:val="22"/>
        </w:rPr>
        <w:t xml:space="preserve"> </w:t>
      </w:r>
      <w:r w:rsidR="00DE1B3D">
        <w:rPr>
          <w:rFonts w:ascii="Gill Sans MT" w:hAnsi="Gill Sans MT"/>
          <w:sz w:val="22"/>
          <w:szCs w:val="22"/>
        </w:rPr>
        <w:t xml:space="preserve">and the expected </w:t>
      </w:r>
      <w:r w:rsidR="00963D8B">
        <w:rPr>
          <w:rFonts w:ascii="Gill Sans MT" w:hAnsi="Gill Sans MT"/>
          <w:sz w:val="22"/>
          <w:szCs w:val="22"/>
        </w:rPr>
        <w:t>productivity</w:t>
      </w:r>
      <w:r w:rsidR="00DE1B3D">
        <w:rPr>
          <w:rFonts w:ascii="Gill Sans MT" w:hAnsi="Gill Sans MT"/>
          <w:sz w:val="22"/>
          <w:szCs w:val="22"/>
        </w:rPr>
        <w:t xml:space="preserve"> reduction</w:t>
      </w:r>
      <w:r w:rsidR="00963D8B">
        <w:rPr>
          <w:rFonts w:ascii="Gill Sans MT" w:hAnsi="Gill Sans MT"/>
          <w:sz w:val="22"/>
          <w:szCs w:val="22"/>
        </w:rPr>
        <w:t xml:space="preserve">s happen. </w:t>
      </w:r>
      <w:r w:rsidR="00EB7988">
        <w:rPr>
          <w:rFonts w:ascii="Gill Sans MT" w:hAnsi="Gill Sans MT"/>
          <w:sz w:val="22"/>
          <w:szCs w:val="22"/>
        </w:rPr>
        <w:t>T</w:t>
      </w:r>
      <w:r w:rsidR="008E7880">
        <w:rPr>
          <w:rFonts w:ascii="Gill Sans MT" w:hAnsi="Gill Sans MT"/>
          <w:sz w:val="22"/>
          <w:szCs w:val="22"/>
        </w:rPr>
        <w:t>h</w:t>
      </w:r>
      <w:r w:rsidR="00E9050C">
        <w:rPr>
          <w:rFonts w:ascii="Gill Sans MT" w:hAnsi="Gill Sans MT"/>
          <w:sz w:val="22"/>
          <w:szCs w:val="22"/>
        </w:rPr>
        <w:t>is</w:t>
      </w:r>
      <w:r w:rsidR="008E7880">
        <w:rPr>
          <w:rFonts w:ascii="Gill Sans MT" w:hAnsi="Gill Sans MT"/>
          <w:sz w:val="22"/>
          <w:szCs w:val="22"/>
        </w:rPr>
        <w:t xml:space="preserve"> </w:t>
      </w:r>
      <w:r w:rsidR="00340DA0">
        <w:rPr>
          <w:rFonts w:ascii="Gill Sans MT" w:hAnsi="Gill Sans MT"/>
          <w:sz w:val="22"/>
          <w:szCs w:val="22"/>
        </w:rPr>
        <w:t>mechanism</w:t>
      </w:r>
      <w:r w:rsidR="008E7880">
        <w:rPr>
          <w:rFonts w:ascii="Gill Sans MT" w:hAnsi="Gill Sans MT"/>
          <w:sz w:val="22"/>
          <w:szCs w:val="22"/>
        </w:rPr>
        <w:t xml:space="preserve"> </w:t>
      </w:r>
      <w:r w:rsidR="00600922">
        <w:rPr>
          <w:rFonts w:ascii="Gill Sans MT" w:hAnsi="Gill Sans MT"/>
          <w:sz w:val="22"/>
          <w:szCs w:val="22"/>
        </w:rPr>
        <w:t xml:space="preserve">can be used as a ‘key input’ </w:t>
      </w:r>
      <w:r w:rsidR="00E9050C">
        <w:rPr>
          <w:rFonts w:ascii="Gill Sans MT" w:hAnsi="Gill Sans MT"/>
          <w:sz w:val="22"/>
          <w:szCs w:val="22"/>
        </w:rPr>
        <w:t xml:space="preserve">for </w:t>
      </w:r>
      <w:r w:rsidR="00340DA0">
        <w:rPr>
          <w:rFonts w:ascii="Gill Sans MT" w:hAnsi="Gill Sans MT"/>
          <w:sz w:val="22"/>
          <w:szCs w:val="22"/>
        </w:rPr>
        <w:t>macroeconomic</w:t>
      </w:r>
      <w:r w:rsidR="007F5522">
        <w:rPr>
          <w:rFonts w:ascii="Gill Sans MT" w:hAnsi="Gill Sans MT"/>
          <w:sz w:val="22"/>
          <w:szCs w:val="22"/>
        </w:rPr>
        <w:t xml:space="preserve"> trade</w:t>
      </w:r>
      <w:r w:rsidR="00340DA0">
        <w:rPr>
          <w:rFonts w:ascii="Gill Sans MT" w:hAnsi="Gill Sans MT"/>
          <w:sz w:val="22"/>
          <w:szCs w:val="22"/>
        </w:rPr>
        <w:t xml:space="preserve"> models</w:t>
      </w:r>
      <w:r w:rsidR="00600922">
        <w:rPr>
          <w:rFonts w:ascii="Gill Sans MT" w:hAnsi="Gill Sans MT"/>
          <w:sz w:val="22"/>
          <w:szCs w:val="22"/>
        </w:rPr>
        <w:t>.</w:t>
      </w:r>
      <w:r w:rsidR="00573026">
        <w:rPr>
          <w:rFonts w:ascii="Gill Sans MT" w:hAnsi="Gill Sans MT"/>
          <w:sz w:val="22"/>
          <w:szCs w:val="22"/>
        </w:rPr>
        <w:t xml:space="preserve"> </w:t>
      </w:r>
      <w:r w:rsidR="007E543A">
        <w:rPr>
          <w:rFonts w:ascii="Gill Sans MT" w:hAnsi="Gill Sans MT"/>
          <w:sz w:val="22"/>
          <w:szCs w:val="22"/>
        </w:rPr>
        <w:t>T</w:t>
      </w:r>
      <w:r w:rsidR="00573026">
        <w:rPr>
          <w:rFonts w:ascii="Gill Sans MT" w:hAnsi="Gill Sans MT"/>
          <w:sz w:val="22"/>
          <w:szCs w:val="22"/>
        </w:rPr>
        <w:t>he</w:t>
      </w:r>
      <w:r w:rsidR="00B421E2">
        <w:rPr>
          <w:rFonts w:ascii="Gill Sans MT" w:hAnsi="Gill Sans MT"/>
          <w:sz w:val="22"/>
          <w:szCs w:val="22"/>
        </w:rPr>
        <w:t xml:space="preserve">y </w:t>
      </w:r>
      <w:r w:rsidR="007F5522">
        <w:rPr>
          <w:rFonts w:ascii="Gill Sans MT" w:hAnsi="Gill Sans MT"/>
          <w:sz w:val="22"/>
          <w:szCs w:val="22"/>
        </w:rPr>
        <w:t xml:space="preserve">predict </w:t>
      </w:r>
      <w:r w:rsidR="00A67FC0">
        <w:rPr>
          <w:rFonts w:ascii="Gill Sans MT" w:hAnsi="Gill Sans MT"/>
          <w:sz w:val="22"/>
          <w:szCs w:val="22"/>
        </w:rPr>
        <w:t xml:space="preserve">long-run </w:t>
      </w:r>
      <w:r w:rsidR="00573026">
        <w:rPr>
          <w:rFonts w:ascii="Gill Sans MT" w:hAnsi="Gill Sans MT"/>
          <w:sz w:val="22"/>
          <w:szCs w:val="22"/>
        </w:rPr>
        <w:t xml:space="preserve">UK GDP </w:t>
      </w:r>
      <w:r w:rsidR="00B421E2">
        <w:rPr>
          <w:rFonts w:ascii="Gill Sans MT" w:hAnsi="Gill Sans MT"/>
          <w:sz w:val="22"/>
          <w:szCs w:val="22"/>
        </w:rPr>
        <w:t>to</w:t>
      </w:r>
      <w:r w:rsidR="00573026">
        <w:rPr>
          <w:rFonts w:ascii="Gill Sans MT" w:hAnsi="Gill Sans MT"/>
          <w:sz w:val="22"/>
          <w:szCs w:val="22"/>
        </w:rPr>
        <w:t xml:space="preserve"> fall by 3.6% because of Brexit. </w:t>
      </w:r>
    </w:p>
    <w:p w14:paraId="4B68E2CA" w14:textId="69C129BD" w:rsidR="0035775D" w:rsidRDefault="00D016BB" w:rsidP="009903F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 w:rsidRPr="00977AD5">
        <w:rPr>
          <w:rFonts w:ascii="Gill Sans MT" w:hAnsi="Gill Sans MT"/>
          <w:sz w:val="22"/>
          <w:szCs w:val="22"/>
        </w:rPr>
        <w:t xml:space="preserve">Dhingra et al. </w:t>
      </w:r>
      <w:r w:rsidR="008D650A">
        <w:rPr>
          <w:rFonts w:ascii="Gill Sans MT" w:hAnsi="Gill Sans MT"/>
          <w:sz w:val="22"/>
          <w:szCs w:val="22"/>
        </w:rPr>
        <w:t xml:space="preserve">(2017) </w:t>
      </w:r>
      <w:r w:rsidR="009903FA">
        <w:rPr>
          <w:rFonts w:ascii="Gill Sans MT" w:hAnsi="Gill Sans MT"/>
          <w:sz w:val="22"/>
          <w:szCs w:val="22"/>
        </w:rPr>
        <w:t xml:space="preserve">estimate welfare reductions </w:t>
      </w:r>
      <w:r w:rsidR="0009770B">
        <w:rPr>
          <w:rFonts w:ascii="Gill Sans MT" w:hAnsi="Gill Sans MT"/>
          <w:sz w:val="22"/>
          <w:szCs w:val="22"/>
        </w:rPr>
        <w:t xml:space="preserve">between </w:t>
      </w:r>
      <w:r w:rsidR="00C41678">
        <w:rPr>
          <w:rFonts w:ascii="Gill Sans MT" w:hAnsi="Gill Sans MT"/>
          <w:sz w:val="22"/>
          <w:szCs w:val="22"/>
        </w:rPr>
        <w:t>-1.34</w:t>
      </w:r>
      <w:r w:rsidR="00226400">
        <w:rPr>
          <w:rFonts w:ascii="Gill Sans MT" w:hAnsi="Gill Sans MT"/>
          <w:sz w:val="22"/>
          <w:szCs w:val="22"/>
        </w:rPr>
        <w:t xml:space="preserve">% </w:t>
      </w:r>
      <w:r w:rsidR="009810A7">
        <w:rPr>
          <w:rFonts w:ascii="Gill Sans MT" w:hAnsi="Gill Sans MT"/>
          <w:sz w:val="22"/>
          <w:szCs w:val="22"/>
        </w:rPr>
        <w:t xml:space="preserve">(soft) </w:t>
      </w:r>
      <w:r w:rsidR="00C41678">
        <w:rPr>
          <w:rFonts w:ascii="Gill Sans MT" w:hAnsi="Gill Sans MT"/>
          <w:sz w:val="22"/>
          <w:szCs w:val="22"/>
        </w:rPr>
        <w:t>and -2.66</w:t>
      </w:r>
      <w:r w:rsidR="00226400">
        <w:rPr>
          <w:rFonts w:ascii="Gill Sans MT" w:hAnsi="Gill Sans MT"/>
          <w:sz w:val="22"/>
          <w:szCs w:val="22"/>
        </w:rPr>
        <w:t>%</w:t>
      </w:r>
      <w:r w:rsidR="009810A7">
        <w:rPr>
          <w:rFonts w:ascii="Gill Sans MT" w:hAnsi="Gill Sans MT"/>
          <w:sz w:val="22"/>
          <w:szCs w:val="22"/>
        </w:rPr>
        <w:t xml:space="preserve"> (hard)</w:t>
      </w:r>
      <w:r w:rsidR="008F74F3">
        <w:rPr>
          <w:rFonts w:ascii="Gill Sans MT" w:hAnsi="Gill Sans MT"/>
          <w:sz w:val="22"/>
          <w:szCs w:val="22"/>
        </w:rPr>
        <w:t xml:space="preserve"> 10 years after Brexit</w:t>
      </w:r>
      <w:r w:rsidR="00C41678">
        <w:rPr>
          <w:rFonts w:ascii="Gill Sans MT" w:hAnsi="Gill Sans MT"/>
          <w:sz w:val="22"/>
          <w:szCs w:val="22"/>
        </w:rPr>
        <w:t xml:space="preserve">. </w:t>
      </w:r>
    </w:p>
    <w:p w14:paraId="58C61D9A" w14:textId="0818C707" w:rsidR="00874564" w:rsidRDefault="00FF4222" w:rsidP="009903F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E</w:t>
      </w:r>
      <w:r w:rsidR="00DA0B30">
        <w:rPr>
          <w:rFonts w:ascii="Gill Sans MT" w:hAnsi="Gill Sans MT"/>
          <w:sz w:val="22"/>
          <w:szCs w:val="22"/>
        </w:rPr>
        <w:t>stimates of</w:t>
      </w:r>
      <w:r w:rsidR="00794960">
        <w:rPr>
          <w:rFonts w:ascii="Gill Sans MT" w:hAnsi="Gill Sans MT"/>
          <w:sz w:val="22"/>
          <w:szCs w:val="22"/>
        </w:rPr>
        <w:t xml:space="preserve"> Brexit’s effect on welfare</w:t>
      </w:r>
      <w:r>
        <w:rPr>
          <w:rFonts w:ascii="Gill Sans MT" w:hAnsi="Gill Sans MT"/>
          <w:sz w:val="22"/>
          <w:szCs w:val="22"/>
        </w:rPr>
        <w:t xml:space="preserve"> are surprisingly varied</w:t>
      </w:r>
      <w:r w:rsidR="00794960">
        <w:rPr>
          <w:rFonts w:ascii="Gill Sans MT" w:hAnsi="Gill Sans MT"/>
          <w:sz w:val="22"/>
          <w:szCs w:val="22"/>
        </w:rPr>
        <w:t xml:space="preserve">, due to differences in </w:t>
      </w:r>
      <w:r w:rsidR="0035775D">
        <w:rPr>
          <w:rFonts w:ascii="Gill Sans MT" w:hAnsi="Gill Sans MT"/>
          <w:sz w:val="22"/>
          <w:szCs w:val="22"/>
        </w:rPr>
        <w:t xml:space="preserve">GEM </w:t>
      </w:r>
      <w:r w:rsidR="00794960">
        <w:rPr>
          <w:rFonts w:ascii="Gill Sans MT" w:hAnsi="Gill Sans MT"/>
          <w:sz w:val="22"/>
          <w:szCs w:val="22"/>
        </w:rPr>
        <w:t>assumptions</w:t>
      </w:r>
      <w:r w:rsidR="0035775D">
        <w:rPr>
          <w:rFonts w:ascii="Gill Sans MT" w:hAnsi="Gill Sans MT"/>
          <w:sz w:val="22"/>
          <w:szCs w:val="22"/>
        </w:rPr>
        <w:t>.</w:t>
      </w:r>
    </w:p>
    <w:p w14:paraId="04D58F15" w14:textId="77777777" w:rsidR="00A75131" w:rsidRPr="0092408E" w:rsidRDefault="00A75131" w:rsidP="007613D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4435E941" w14:textId="1CA405A8" w:rsidR="00805E33" w:rsidRPr="002261E0" w:rsidRDefault="007B7BD9" w:rsidP="002261E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>Post-TCA literature</w:t>
      </w:r>
    </w:p>
    <w:p w14:paraId="304DF2F2" w14:textId="7B391E63" w:rsidR="009E6587" w:rsidRDefault="00836832" w:rsidP="00805E3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ab/>
      </w:r>
      <w:r w:rsidR="009903FA">
        <w:rPr>
          <w:rFonts w:ascii="Gill Sans MT" w:hAnsi="Gill Sans MT"/>
          <w:sz w:val="22"/>
          <w:szCs w:val="22"/>
        </w:rPr>
        <w:t>T</w:t>
      </w:r>
      <w:r w:rsidR="00A4458D">
        <w:rPr>
          <w:rFonts w:ascii="Gill Sans MT" w:hAnsi="Gill Sans MT"/>
          <w:sz w:val="22"/>
          <w:szCs w:val="22"/>
        </w:rPr>
        <w:t xml:space="preserve">he 1,256-page TCA was </w:t>
      </w:r>
      <w:r w:rsidR="009903FA">
        <w:rPr>
          <w:rFonts w:ascii="Gill Sans MT" w:hAnsi="Gill Sans MT"/>
          <w:sz w:val="22"/>
          <w:szCs w:val="22"/>
        </w:rPr>
        <w:t>summarised</w:t>
      </w:r>
      <w:r w:rsidR="00A4458D">
        <w:rPr>
          <w:rFonts w:ascii="Gill Sans MT" w:hAnsi="Gill Sans MT"/>
          <w:sz w:val="22"/>
          <w:szCs w:val="22"/>
        </w:rPr>
        <w:t xml:space="preserve"> by </w:t>
      </w:r>
      <w:proofErr w:type="spellStart"/>
      <w:r w:rsidRPr="00436A72">
        <w:rPr>
          <w:rFonts w:ascii="Gill Sans MT" w:hAnsi="Gill Sans MT"/>
          <w:sz w:val="22"/>
          <w:szCs w:val="22"/>
        </w:rPr>
        <w:t>Fusacc</w:t>
      </w:r>
      <w:r>
        <w:rPr>
          <w:rFonts w:ascii="Gill Sans MT" w:hAnsi="Gill Sans MT"/>
          <w:sz w:val="22"/>
          <w:szCs w:val="22"/>
        </w:rPr>
        <w:t>h</w:t>
      </w:r>
      <w:r w:rsidRPr="00436A72">
        <w:rPr>
          <w:rFonts w:ascii="Gill Sans MT" w:hAnsi="Gill Sans MT"/>
          <w:sz w:val="22"/>
          <w:szCs w:val="22"/>
        </w:rPr>
        <w:t>ia</w:t>
      </w:r>
      <w:proofErr w:type="spellEnd"/>
      <w:r w:rsidRPr="00436A72">
        <w:rPr>
          <w:rFonts w:ascii="Gill Sans MT" w:hAnsi="Gill Sans MT"/>
          <w:sz w:val="22"/>
          <w:szCs w:val="22"/>
        </w:rPr>
        <w:t xml:space="preserve"> et al (2022)</w:t>
      </w:r>
      <w:r w:rsidR="00BA0967">
        <w:rPr>
          <w:rFonts w:ascii="Gill Sans MT" w:hAnsi="Gill Sans MT"/>
          <w:sz w:val="22"/>
          <w:szCs w:val="22"/>
        </w:rPr>
        <w:t>, which</w:t>
      </w:r>
      <w:r w:rsidR="001256CB">
        <w:rPr>
          <w:rFonts w:ascii="Gill Sans MT" w:hAnsi="Gill Sans MT"/>
          <w:sz w:val="22"/>
          <w:szCs w:val="22"/>
        </w:rPr>
        <w:t xml:space="preserve"> </w:t>
      </w:r>
      <w:r w:rsidR="00F36F65">
        <w:rPr>
          <w:rFonts w:ascii="Gill Sans MT" w:hAnsi="Gill Sans MT"/>
          <w:sz w:val="22"/>
          <w:szCs w:val="22"/>
        </w:rPr>
        <w:t>‘</w:t>
      </w:r>
      <w:r w:rsidR="009903FA">
        <w:rPr>
          <w:rFonts w:ascii="Gill Sans MT" w:hAnsi="Gill Sans MT"/>
          <w:sz w:val="22"/>
          <w:szCs w:val="22"/>
        </w:rPr>
        <w:t>d</w:t>
      </w:r>
      <w:r w:rsidR="00F36F65">
        <w:rPr>
          <w:rFonts w:ascii="Gill Sans MT" w:hAnsi="Gill Sans MT"/>
          <w:sz w:val="22"/>
          <w:szCs w:val="22"/>
        </w:rPr>
        <w:t>espite its length, … creates only a shallow trading relationship</w:t>
      </w:r>
      <w:r w:rsidR="00DA3928">
        <w:rPr>
          <w:rFonts w:ascii="Gill Sans MT" w:hAnsi="Gill Sans MT"/>
          <w:sz w:val="22"/>
          <w:szCs w:val="22"/>
        </w:rPr>
        <w:t>.</w:t>
      </w:r>
      <w:r w:rsidR="00F36F65">
        <w:rPr>
          <w:rFonts w:ascii="Gill Sans MT" w:hAnsi="Gill Sans MT"/>
          <w:sz w:val="22"/>
          <w:szCs w:val="22"/>
        </w:rPr>
        <w:t xml:space="preserve">’ </w:t>
      </w:r>
      <w:r w:rsidR="0087099D">
        <w:rPr>
          <w:rFonts w:ascii="Gill Sans MT" w:hAnsi="Gill Sans MT"/>
          <w:sz w:val="22"/>
          <w:szCs w:val="22"/>
        </w:rPr>
        <w:t>To summarise:</w:t>
      </w:r>
      <w:r w:rsidR="00BF4956">
        <w:rPr>
          <w:rFonts w:ascii="Gill Sans MT" w:hAnsi="Gill Sans MT"/>
          <w:sz w:val="22"/>
          <w:szCs w:val="22"/>
        </w:rPr>
        <w:t xml:space="preserve"> </w:t>
      </w:r>
    </w:p>
    <w:p w14:paraId="23E4E510" w14:textId="451DA950" w:rsidR="009E6587" w:rsidRDefault="009E6587" w:rsidP="00FA7040">
      <w:pPr>
        <w:pStyle w:val="ListParagraph"/>
        <w:numPr>
          <w:ilvl w:val="0"/>
          <w:numId w:val="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UK exempt from 4fs</w:t>
      </w:r>
    </w:p>
    <w:p w14:paraId="0F830577" w14:textId="0AFE91C6" w:rsidR="009E6587" w:rsidRPr="009E6587" w:rsidRDefault="00FA7040" w:rsidP="009E6587">
      <w:pPr>
        <w:pStyle w:val="ListParagraph"/>
        <w:numPr>
          <w:ilvl w:val="0"/>
          <w:numId w:val="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UK </w:t>
      </w:r>
      <w:r w:rsidR="003F5B46">
        <w:rPr>
          <w:rFonts w:ascii="Gill Sans MT" w:hAnsi="Gill Sans MT"/>
          <w:sz w:val="22"/>
          <w:szCs w:val="22"/>
        </w:rPr>
        <w:t>can</w:t>
      </w:r>
      <w:r w:rsidR="007F5522">
        <w:rPr>
          <w:rFonts w:ascii="Gill Sans MT" w:hAnsi="Gill Sans MT"/>
          <w:sz w:val="22"/>
          <w:szCs w:val="22"/>
        </w:rPr>
        <w:t xml:space="preserve"> apply their own tariffs</w:t>
      </w:r>
      <w:r w:rsidR="00303AFF">
        <w:rPr>
          <w:rFonts w:ascii="Gill Sans MT" w:hAnsi="Gill Sans MT"/>
          <w:sz w:val="22"/>
          <w:szCs w:val="22"/>
        </w:rPr>
        <w:t>,</w:t>
      </w:r>
      <w:r w:rsidR="007F5522">
        <w:rPr>
          <w:rFonts w:ascii="Gill Sans MT" w:hAnsi="Gill Sans MT"/>
          <w:sz w:val="22"/>
          <w:szCs w:val="22"/>
        </w:rPr>
        <w:t xml:space="preserve"> instead of the </w:t>
      </w:r>
      <w:r>
        <w:rPr>
          <w:rFonts w:ascii="Gill Sans MT" w:hAnsi="Gill Sans MT"/>
          <w:sz w:val="22"/>
          <w:szCs w:val="22"/>
        </w:rPr>
        <w:t>EU common external tariff</w:t>
      </w:r>
      <w:r w:rsidR="001B5A28">
        <w:rPr>
          <w:rFonts w:ascii="Gill Sans MT" w:hAnsi="Gill Sans MT"/>
          <w:sz w:val="22"/>
          <w:szCs w:val="22"/>
        </w:rPr>
        <w:t>.</w:t>
      </w:r>
    </w:p>
    <w:p w14:paraId="027B06F1" w14:textId="7A866A7E" w:rsidR="00FA7040" w:rsidRDefault="00D4574C" w:rsidP="00FA7040">
      <w:pPr>
        <w:pStyle w:val="ListParagraph"/>
        <w:numPr>
          <w:ilvl w:val="0"/>
          <w:numId w:val="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No</w:t>
      </w:r>
      <w:r w:rsidR="00E574B1" w:rsidRPr="00A81D8F">
        <w:rPr>
          <w:rFonts w:ascii="Gill Sans MT" w:hAnsi="Gill Sans MT"/>
          <w:sz w:val="22"/>
          <w:szCs w:val="22"/>
        </w:rPr>
        <w:t xml:space="preserve"> tariffs and quotas between the UK and the EU</w:t>
      </w:r>
      <w:r w:rsidR="00886576" w:rsidRPr="00A81D8F">
        <w:rPr>
          <w:rFonts w:ascii="Gill Sans MT" w:hAnsi="Gill Sans MT"/>
          <w:sz w:val="22"/>
          <w:szCs w:val="22"/>
        </w:rPr>
        <w:t xml:space="preserve">. </w:t>
      </w:r>
    </w:p>
    <w:p w14:paraId="7D08DEF3" w14:textId="469ABA1D" w:rsidR="00EE71EC" w:rsidRPr="00EE71EC" w:rsidRDefault="00BB70CF" w:rsidP="00EE71EC">
      <w:pPr>
        <w:pStyle w:val="ListParagraph"/>
        <w:numPr>
          <w:ilvl w:val="0"/>
          <w:numId w:val="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C</w:t>
      </w:r>
      <w:r w:rsidR="0053115B">
        <w:rPr>
          <w:rFonts w:ascii="Gill Sans MT" w:hAnsi="Gill Sans MT"/>
          <w:sz w:val="22"/>
          <w:szCs w:val="22"/>
        </w:rPr>
        <w:t xml:space="preserve">ustoms </w:t>
      </w:r>
      <w:r w:rsidR="00BD6CC5">
        <w:rPr>
          <w:rFonts w:ascii="Gill Sans MT" w:hAnsi="Gill Sans MT"/>
          <w:sz w:val="22"/>
          <w:szCs w:val="22"/>
        </w:rPr>
        <w:t>disruptions</w:t>
      </w:r>
      <w:r w:rsidR="00BD6CC5" w:rsidRPr="00FA7040">
        <w:rPr>
          <w:rFonts w:ascii="Gill Sans MT" w:hAnsi="Gill Sans MT"/>
          <w:sz w:val="22"/>
          <w:szCs w:val="22"/>
        </w:rPr>
        <w:t>:</w:t>
      </w:r>
      <w:r w:rsidR="00BF4956" w:rsidRPr="00FA7040">
        <w:rPr>
          <w:rFonts w:ascii="Gill Sans MT" w:hAnsi="Gill Sans MT"/>
          <w:sz w:val="22"/>
          <w:szCs w:val="22"/>
        </w:rPr>
        <w:t xml:space="preserve"> UK exports to the EU must meet EU standards.</w:t>
      </w:r>
      <w:r w:rsidR="00A81D8F" w:rsidRPr="00FA7040">
        <w:rPr>
          <w:rFonts w:ascii="Gill Sans MT" w:hAnsi="Gill Sans MT"/>
          <w:sz w:val="22"/>
          <w:szCs w:val="22"/>
        </w:rPr>
        <w:t xml:space="preserve"> </w:t>
      </w:r>
    </w:p>
    <w:p w14:paraId="2D190951" w14:textId="7C676146" w:rsidR="00FF64BB" w:rsidRDefault="00C9105B" w:rsidP="00805E33">
      <w:pPr>
        <w:pStyle w:val="ListParagraph"/>
        <w:numPr>
          <w:ilvl w:val="0"/>
          <w:numId w:val="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U</w:t>
      </w:r>
      <w:r w:rsidR="00F4415A">
        <w:rPr>
          <w:rFonts w:ascii="Gill Sans MT" w:hAnsi="Gill Sans MT"/>
          <w:sz w:val="22"/>
          <w:szCs w:val="22"/>
        </w:rPr>
        <w:t xml:space="preserve">K </w:t>
      </w:r>
      <w:r w:rsidR="00754BBD">
        <w:rPr>
          <w:rFonts w:ascii="Gill Sans MT" w:hAnsi="Gill Sans MT"/>
          <w:sz w:val="22"/>
          <w:szCs w:val="22"/>
        </w:rPr>
        <w:t xml:space="preserve">transport </w:t>
      </w:r>
      <w:r w:rsidR="003F5B46">
        <w:rPr>
          <w:rFonts w:ascii="Gill Sans MT" w:hAnsi="Gill Sans MT"/>
          <w:sz w:val="22"/>
          <w:szCs w:val="22"/>
        </w:rPr>
        <w:t>companies</w:t>
      </w:r>
      <w:r w:rsidR="00754BBD">
        <w:rPr>
          <w:rFonts w:ascii="Gill Sans MT" w:hAnsi="Gill Sans MT"/>
          <w:sz w:val="22"/>
          <w:szCs w:val="22"/>
        </w:rPr>
        <w:t xml:space="preserve"> </w:t>
      </w:r>
      <w:r w:rsidR="00750453">
        <w:rPr>
          <w:rFonts w:ascii="Gill Sans MT" w:hAnsi="Gill Sans MT"/>
          <w:sz w:val="22"/>
          <w:szCs w:val="22"/>
        </w:rPr>
        <w:t>cannot</w:t>
      </w:r>
      <w:r w:rsidR="00F4415A">
        <w:rPr>
          <w:rFonts w:ascii="Gill Sans MT" w:hAnsi="Gill Sans MT"/>
          <w:sz w:val="22"/>
          <w:szCs w:val="22"/>
        </w:rPr>
        <w:t xml:space="preserve"> provide services in the EU. </w:t>
      </w:r>
    </w:p>
    <w:p w14:paraId="495B1962" w14:textId="3534F3F2" w:rsidR="00F4415A" w:rsidRPr="00EE71EC" w:rsidRDefault="00C237BB" w:rsidP="00805E33">
      <w:pPr>
        <w:pStyle w:val="ListParagraph"/>
        <w:numPr>
          <w:ilvl w:val="0"/>
          <w:numId w:val="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UK financial </w:t>
      </w:r>
      <w:r w:rsidR="00402C51">
        <w:rPr>
          <w:rFonts w:ascii="Gill Sans MT" w:hAnsi="Gill Sans MT"/>
          <w:sz w:val="22"/>
          <w:szCs w:val="22"/>
        </w:rPr>
        <w:t>institutions los</w:t>
      </w:r>
      <w:r w:rsidR="00D4574C">
        <w:rPr>
          <w:rFonts w:ascii="Gill Sans MT" w:hAnsi="Gill Sans MT"/>
          <w:sz w:val="22"/>
          <w:szCs w:val="22"/>
        </w:rPr>
        <w:t>e</w:t>
      </w:r>
      <w:r w:rsidR="00402C51">
        <w:rPr>
          <w:rFonts w:ascii="Gill Sans MT" w:hAnsi="Gill Sans MT"/>
          <w:sz w:val="22"/>
          <w:szCs w:val="22"/>
        </w:rPr>
        <w:t xml:space="preserve"> the ‘almost unlimited rights’</w:t>
      </w:r>
      <w:r w:rsidR="00BD6CC5">
        <w:rPr>
          <w:rFonts w:ascii="Gill Sans MT" w:hAnsi="Gill Sans MT"/>
          <w:sz w:val="22"/>
          <w:szCs w:val="22"/>
        </w:rPr>
        <w:t xml:space="preserve"> which they had</w:t>
      </w:r>
      <w:r w:rsidR="00402C51">
        <w:rPr>
          <w:rFonts w:ascii="Gill Sans MT" w:hAnsi="Gill Sans MT"/>
          <w:sz w:val="22"/>
          <w:szCs w:val="22"/>
        </w:rPr>
        <w:t xml:space="preserve">. </w:t>
      </w:r>
    </w:p>
    <w:p w14:paraId="1A5AD759" w14:textId="11A431CA" w:rsidR="000B6C6B" w:rsidRPr="009E6587" w:rsidRDefault="003863D9" w:rsidP="00805E33">
      <w:pPr>
        <w:pStyle w:val="ListParagraph"/>
        <w:numPr>
          <w:ilvl w:val="0"/>
          <w:numId w:val="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9E6587">
        <w:rPr>
          <w:rFonts w:ascii="Gill Sans MT" w:hAnsi="Gill Sans MT"/>
          <w:sz w:val="22"/>
          <w:szCs w:val="22"/>
        </w:rPr>
        <w:t>Ceas</w:t>
      </w:r>
      <w:r w:rsidR="006458ED">
        <w:rPr>
          <w:rFonts w:ascii="Gill Sans MT" w:hAnsi="Gill Sans MT"/>
          <w:sz w:val="22"/>
          <w:szCs w:val="22"/>
        </w:rPr>
        <w:t>ing</w:t>
      </w:r>
      <w:r w:rsidRPr="009E6587">
        <w:rPr>
          <w:rFonts w:ascii="Gill Sans MT" w:hAnsi="Gill Sans MT"/>
          <w:sz w:val="22"/>
          <w:szCs w:val="22"/>
        </w:rPr>
        <w:t xml:space="preserve"> of mutual recognition of professional qualifications. </w:t>
      </w:r>
    </w:p>
    <w:p w14:paraId="7646764E" w14:textId="262765A1" w:rsidR="00391F37" w:rsidRDefault="009810A7" w:rsidP="00FF64B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color w:val="FF0000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Their GEM finds</w:t>
      </w:r>
      <w:r w:rsidR="00ED3B3D">
        <w:rPr>
          <w:rFonts w:ascii="Gill Sans MT" w:hAnsi="Gill Sans MT"/>
          <w:sz w:val="22"/>
          <w:szCs w:val="22"/>
        </w:rPr>
        <w:t>:</w:t>
      </w:r>
      <w:r w:rsidR="00885482">
        <w:rPr>
          <w:rFonts w:ascii="Gill Sans MT" w:hAnsi="Gill Sans MT"/>
          <w:sz w:val="22"/>
          <w:szCs w:val="22"/>
        </w:rPr>
        <w:t xml:space="preserve"> </w:t>
      </w:r>
      <w:r w:rsidR="007F0BD0">
        <w:rPr>
          <w:rFonts w:ascii="Gill Sans MT" w:hAnsi="Gill Sans MT"/>
          <w:sz w:val="22"/>
          <w:szCs w:val="22"/>
        </w:rPr>
        <w:t xml:space="preserve">UK services exports </w:t>
      </w:r>
      <w:r w:rsidR="00C07E0D">
        <w:rPr>
          <w:rFonts w:ascii="Gill Sans MT" w:hAnsi="Gill Sans MT"/>
          <w:sz w:val="22"/>
          <w:szCs w:val="22"/>
        </w:rPr>
        <w:t xml:space="preserve">to the EU </w:t>
      </w:r>
      <w:r w:rsidR="007F0BD0">
        <w:rPr>
          <w:rFonts w:ascii="Gill Sans MT" w:hAnsi="Gill Sans MT"/>
          <w:sz w:val="22"/>
          <w:szCs w:val="22"/>
        </w:rPr>
        <w:t xml:space="preserve">will fall by </w:t>
      </w:r>
      <w:r w:rsidR="00A223BB">
        <w:rPr>
          <w:rFonts w:ascii="Gill Sans MT" w:hAnsi="Gill Sans MT"/>
          <w:sz w:val="22"/>
          <w:szCs w:val="22"/>
        </w:rPr>
        <w:t xml:space="preserve">4.9% and services imports </w:t>
      </w:r>
      <w:r w:rsidR="00C07E0D">
        <w:rPr>
          <w:rFonts w:ascii="Gill Sans MT" w:hAnsi="Gill Sans MT"/>
          <w:sz w:val="22"/>
          <w:szCs w:val="22"/>
        </w:rPr>
        <w:t xml:space="preserve">from the EU </w:t>
      </w:r>
      <w:r w:rsidR="00A223BB">
        <w:rPr>
          <w:rFonts w:ascii="Gill Sans MT" w:hAnsi="Gill Sans MT"/>
          <w:sz w:val="22"/>
          <w:szCs w:val="22"/>
        </w:rPr>
        <w:t>by 15.4%</w:t>
      </w:r>
      <w:r w:rsidR="00A4458D">
        <w:rPr>
          <w:rFonts w:ascii="Gill Sans MT" w:hAnsi="Gill Sans MT"/>
          <w:sz w:val="22"/>
          <w:szCs w:val="22"/>
        </w:rPr>
        <w:t>.</w:t>
      </w:r>
    </w:p>
    <w:p w14:paraId="146F86DF" w14:textId="70A11979" w:rsidR="00C86EAB" w:rsidRDefault="00ED3B3D" w:rsidP="00572C9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lastRenderedPageBreak/>
        <w:t xml:space="preserve">Once </w:t>
      </w:r>
      <w:r w:rsidR="003E00FC">
        <w:rPr>
          <w:rFonts w:ascii="Gill Sans MT" w:hAnsi="Gill Sans MT"/>
          <w:color w:val="000000" w:themeColor="text1"/>
          <w:sz w:val="22"/>
          <w:szCs w:val="22"/>
        </w:rPr>
        <w:t xml:space="preserve">enough </w:t>
      </w:r>
      <w:r>
        <w:rPr>
          <w:rFonts w:ascii="Gill Sans MT" w:hAnsi="Gill Sans MT"/>
          <w:color w:val="000000" w:themeColor="text1"/>
          <w:sz w:val="22"/>
          <w:szCs w:val="22"/>
        </w:rPr>
        <w:t>ex-post data was available, economi</w:t>
      </w:r>
      <w:r w:rsidR="00B74262">
        <w:rPr>
          <w:rFonts w:ascii="Gill Sans MT" w:hAnsi="Gill Sans MT"/>
          <w:color w:val="000000" w:themeColor="text1"/>
          <w:sz w:val="22"/>
          <w:szCs w:val="22"/>
        </w:rPr>
        <w:t>sts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could </w:t>
      </w:r>
      <w:r w:rsidR="008E7F7E">
        <w:rPr>
          <w:rFonts w:ascii="Gill Sans MT" w:hAnsi="Gill Sans MT"/>
          <w:color w:val="000000" w:themeColor="text1"/>
          <w:sz w:val="22"/>
          <w:szCs w:val="22"/>
        </w:rPr>
        <w:t>apply</w:t>
      </w:r>
      <w:r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8E7F7E">
        <w:rPr>
          <w:rFonts w:ascii="Gill Sans MT" w:hAnsi="Gill Sans MT"/>
          <w:color w:val="000000" w:themeColor="text1"/>
          <w:sz w:val="22"/>
          <w:szCs w:val="22"/>
        </w:rPr>
        <w:t>difference-in-differences (DiD) method</w:t>
      </w:r>
      <w:r w:rsidR="00B74262">
        <w:rPr>
          <w:rFonts w:ascii="Gill Sans MT" w:hAnsi="Gill Sans MT"/>
          <w:color w:val="000000" w:themeColor="text1"/>
          <w:sz w:val="22"/>
          <w:szCs w:val="22"/>
        </w:rPr>
        <w:t>s</w:t>
      </w:r>
      <w:r w:rsidR="008E7F7E">
        <w:rPr>
          <w:rFonts w:ascii="Gill Sans MT" w:hAnsi="Gill Sans MT"/>
          <w:color w:val="000000" w:themeColor="text1"/>
          <w:sz w:val="22"/>
          <w:szCs w:val="22"/>
        </w:rPr>
        <w:t>.</w:t>
      </w:r>
      <w:r w:rsidR="00306C09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791AC2">
        <w:rPr>
          <w:rFonts w:ascii="Gill Sans MT" w:hAnsi="Gill Sans MT"/>
          <w:color w:val="000000" w:themeColor="text1"/>
          <w:sz w:val="22"/>
          <w:szCs w:val="22"/>
        </w:rPr>
        <w:t>Briefly</w:t>
      </w:r>
      <w:r w:rsidR="00306C09">
        <w:rPr>
          <w:rFonts w:ascii="Gill Sans MT" w:hAnsi="Gill Sans MT"/>
          <w:color w:val="000000" w:themeColor="text1"/>
          <w:sz w:val="22"/>
          <w:szCs w:val="22"/>
        </w:rPr>
        <w:t>, this means comparing the trade flows between the UK-ROW (control group) and the UK-EU (treatment group), to find the treatment effect.</w:t>
      </w:r>
      <w:r w:rsidR="00BB6557">
        <w:rPr>
          <w:rFonts w:ascii="Gill Sans MT" w:hAnsi="Gill Sans MT"/>
          <w:color w:val="000000" w:themeColor="text1"/>
          <w:sz w:val="22"/>
          <w:szCs w:val="22"/>
        </w:rPr>
        <w:t xml:space="preserve"> A recent publicatio</w:t>
      </w:r>
      <w:r w:rsidR="00BD6CC5">
        <w:rPr>
          <w:rFonts w:ascii="Gill Sans MT" w:hAnsi="Gill Sans MT"/>
          <w:color w:val="000000" w:themeColor="text1"/>
          <w:sz w:val="22"/>
          <w:szCs w:val="22"/>
        </w:rPr>
        <w:t>n</w:t>
      </w:r>
      <w:r w:rsidR="00BB6557">
        <w:rPr>
          <w:rFonts w:ascii="Gill Sans MT" w:hAnsi="Gill Sans MT"/>
          <w:color w:val="000000" w:themeColor="text1"/>
          <w:sz w:val="22"/>
          <w:szCs w:val="22"/>
        </w:rPr>
        <w:t xml:space="preserve"> by</w:t>
      </w:r>
      <w:r w:rsidR="008E7F7E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8D1B2B">
        <w:rPr>
          <w:rFonts w:ascii="Gill Sans MT" w:hAnsi="Gill Sans MT"/>
          <w:color w:val="000000" w:themeColor="text1"/>
          <w:sz w:val="22"/>
          <w:szCs w:val="22"/>
        </w:rPr>
        <w:t>Kren and Lawless (2024)</w:t>
      </w:r>
      <w:r w:rsidR="00DD6015">
        <w:rPr>
          <w:rFonts w:ascii="Gill Sans MT" w:hAnsi="Gill Sans MT"/>
          <w:color w:val="000000" w:themeColor="text1"/>
          <w:sz w:val="22"/>
          <w:szCs w:val="22"/>
        </w:rPr>
        <w:t xml:space="preserve">, </w:t>
      </w:r>
      <w:r w:rsidR="00A0296C">
        <w:rPr>
          <w:rFonts w:ascii="Gill Sans MT" w:hAnsi="Gill Sans MT"/>
          <w:color w:val="000000" w:themeColor="text1"/>
          <w:sz w:val="22"/>
          <w:szCs w:val="22"/>
        </w:rPr>
        <w:t>(</w:t>
      </w:r>
      <w:r w:rsidR="00A0296C" w:rsidRPr="00DF586D">
        <w:rPr>
          <w:rFonts w:ascii="Gill Sans MT" w:hAnsi="Gill Sans MT"/>
          <w:color w:val="000000" w:themeColor="text1"/>
          <w:sz w:val="22"/>
          <w:szCs w:val="22"/>
          <w:u w:val="single"/>
        </w:rPr>
        <w:t>only using goods data</w:t>
      </w:r>
      <w:r w:rsidR="00A0296C">
        <w:rPr>
          <w:rFonts w:ascii="Gill Sans MT" w:hAnsi="Gill Sans MT"/>
          <w:color w:val="000000" w:themeColor="text1"/>
          <w:sz w:val="22"/>
          <w:szCs w:val="22"/>
        </w:rPr>
        <w:t>)</w:t>
      </w:r>
      <w:r w:rsidR="00643F7D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F02BF4">
        <w:rPr>
          <w:rFonts w:ascii="Gill Sans MT" w:hAnsi="Gill Sans MT"/>
          <w:color w:val="000000" w:themeColor="text1"/>
          <w:sz w:val="22"/>
          <w:szCs w:val="22"/>
        </w:rPr>
        <w:t>adapts</w:t>
      </w:r>
      <w:r w:rsidR="006C0DEC">
        <w:rPr>
          <w:rFonts w:ascii="Gill Sans MT" w:hAnsi="Gill Sans MT"/>
          <w:color w:val="000000" w:themeColor="text1"/>
          <w:sz w:val="22"/>
          <w:szCs w:val="22"/>
        </w:rPr>
        <w:t xml:space="preserve"> work by</w:t>
      </w:r>
      <w:r w:rsidR="00BB6557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582373">
        <w:rPr>
          <w:rFonts w:ascii="Gill Sans MT" w:hAnsi="Gill Sans MT"/>
          <w:color w:val="000000" w:themeColor="text1"/>
          <w:sz w:val="22"/>
          <w:szCs w:val="22"/>
        </w:rPr>
        <w:t xml:space="preserve">Freeman et al. (2022) </w:t>
      </w:r>
      <w:r w:rsidR="00F02BF4">
        <w:rPr>
          <w:rFonts w:ascii="Gill Sans MT" w:hAnsi="Gill Sans MT"/>
          <w:color w:val="000000" w:themeColor="text1"/>
          <w:sz w:val="22"/>
          <w:szCs w:val="22"/>
        </w:rPr>
        <w:t>by using</w:t>
      </w:r>
      <w:r w:rsidR="00F538C8">
        <w:rPr>
          <w:rFonts w:ascii="Gill Sans MT" w:hAnsi="Gill Sans MT"/>
          <w:color w:val="000000" w:themeColor="text1"/>
          <w:sz w:val="22"/>
          <w:szCs w:val="22"/>
        </w:rPr>
        <w:t xml:space="preserve"> a ‘hybrid dataset’</w:t>
      </w:r>
      <w:r w:rsidR="008E7F7E">
        <w:rPr>
          <w:rFonts w:ascii="Gill Sans MT" w:hAnsi="Gill Sans MT"/>
          <w:color w:val="000000" w:themeColor="text1"/>
          <w:sz w:val="22"/>
          <w:szCs w:val="22"/>
        </w:rPr>
        <w:t xml:space="preserve">. </w:t>
      </w:r>
      <w:r w:rsidR="00A01931">
        <w:rPr>
          <w:rFonts w:ascii="Gill Sans MT" w:hAnsi="Gill Sans MT"/>
          <w:color w:val="000000" w:themeColor="text1"/>
          <w:sz w:val="22"/>
          <w:szCs w:val="22"/>
        </w:rPr>
        <w:t>They differ in the</w:t>
      </w:r>
      <w:r w:rsidR="00831A23">
        <w:rPr>
          <w:rFonts w:ascii="Gill Sans MT" w:hAnsi="Gill Sans MT"/>
          <w:color w:val="000000" w:themeColor="text1"/>
          <w:sz w:val="22"/>
          <w:szCs w:val="22"/>
        </w:rPr>
        <w:t>ir choice of control group</w:t>
      </w:r>
      <w:r w:rsidR="00A01931">
        <w:rPr>
          <w:rFonts w:ascii="Gill Sans MT" w:hAnsi="Gill Sans MT"/>
          <w:color w:val="000000" w:themeColor="text1"/>
          <w:sz w:val="22"/>
          <w:szCs w:val="22"/>
        </w:rPr>
        <w:t>. Kren and Lawless (2024) use</w:t>
      </w:r>
      <w:r w:rsidR="00C210B2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A01931">
        <w:rPr>
          <w:rFonts w:ascii="Gill Sans MT" w:hAnsi="Gill Sans MT"/>
          <w:color w:val="000000" w:themeColor="text1"/>
          <w:sz w:val="22"/>
          <w:szCs w:val="22"/>
        </w:rPr>
        <w:t>EU-R</w:t>
      </w:r>
      <w:r w:rsidR="006767C9">
        <w:rPr>
          <w:rFonts w:ascii="Gill Sans MT" w:hAnsi="Gill Sans MT"/>
          <w:color w:val="000000" w:themeColor="text1"/>
          <w:sz w:val="22"/>
          <w:szCs w:val="22"/>
        </w:rPr>
        <w:t>O</w:t>
      </w:r>
      <w:r w:rsidR="00A01931">
        <w:rPr>
          <w:rFonts w:ascii="Gill Sans MT" w:hAnsi="Gill Sans MT"/>
          <w:color w:val="000000" w:themeColor="text1"/>
          <w:sz w:val="22"/>
          <w:szCs w:val="22"/>
        </w:rPr>
        <w:t>W</w:t>
      </w:r>
      <w:r w:rsidR="00B84365">
        <w:rPr>
          <w:rFonts w:ascii="Gill Sans MT" w:hAnsi="Gill Sans MT"/>
          <w:color w:val="000000" w:themeColor="text1"/>
          <w:sz w:val="22"/>
          <w:szCs w:val="22"/>
        </w:rPr>
        <w:t xml:space="preserve">, </w:t>
      </w:r>
      <w:r w:rsidR="00BF33F1">
        <w:rPr>
          <w:rFonts w:ascii="Gill Sans MT" w:hAnsi="Gill Sans MT"/>
          <w:color w:val="000000" w:themeColor="text1"/>
          <w:sz w:val="22"/>
          <w:szCs w:val="22"/>
        </w:rPr>
        <w:t>arguing</w:t>
      </w:r>
      <w:r w:rsidR="00B84365">
        <w:rPr>
          <w:rFonts w:ascii="Gill Sans MT" w:hAnsi="Gill Sans MT"/>
          <w:color w:val="000000" w:themeColor="text1"/>
          <w:sz w:val="22"/>
          <w:szCs w:val="22"/>
        </w:rPr>
        <w:t xml:space="preserve"> that UK-R</w:t>
      </w:r>
      <w:r w:rsidR="006767C9">
        <w:rPr>
          <w:rFonts w:ascii="Gill Sans MT" w:hAnsi="Gill Sans MT"/>
          <w:color w:val="000000" w:themeColor="text1"/>
          <w:sz w:val="22"/>
          <w:szCs w:val="22"/>
        </w:rPr>
        <w:t>O</w:t>
      </w:r>
      <w:r w:rsidR="00B84365">
        <w:rPr>
          <w:rFonts w:ascii="Gill Sans MT" w:hAnsi="Gill Sans MT"/>
          <w:color w:val="000000" w:themeColor="text1"/>
          <w:sz w:val="22"/>
          <w:szCs w:val="22"/>
        </w:rPr>
        <w:t>W</w:t>
      </w:r>
      <w:r w:rsidR="00306C09">
        <w:rPr>
          <w:rFonts w:ascii="Gill Sans MT" w:hAnsi="Gill Sans MT"/>
          <w:color w:val="000000" w:themeColor="text1"/>
          <w:sz w:val="22"/>
          <w:szCs w:val="22"/>
        </w:rPr>
        <w:t xml:space="preserve"> – </w:t>
      </w:r>
      <w:r w:rsidR="00145B50">
        <w:rPr>
          <w:rFonts w:ascii="Gill Sans MT" w:hAnsi="Gill Sans MT"/>
          <w:color w:val="000000" w:themeColor="text1"/>
          <w:sz w:val="22"/>
          <w:szCs w:val="22"/>
        </w:rPr>
        <w:t>control group of</w:t>
      </w:r>
      <w:r w:rsidR="00306C09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7E0D54">
        <w:rPr>
          <w:rFonts w:ascii="Gill Sans MT" w:hAnsi="Gill Sans MT"/>
          <w:color w:val="000000" w:themeColor="text1"/>
          <w:sz w:val="22"/>
          <w:szCs w:val="22"/>
        </w:rPr>
        <w:t xml:space="preserve">Freeman et al. (2022) – </w:t>
      </w:r>
      <w:r w:rsidR="00B84365">
        <w:rPr>
          <w:rFonts w:ascii="Gill Sans MT" w:hAnsi="Gill Sans MT"/>
          <w:color w:val="000000" w:themeColor="text1"/>
          <w:sz w:val="22"/>
          <w:szCs w:val="22"/>
        </w:rPr>
        <w:t xml:space="preserve">trade would be </w:t>
      </w:r>
      <w:r w:rsidR="000C6213">
        <w:rPr>
          <w:rFonts w:ascii="Gill Sans MT" w:hAnsi="Gill Sans MT"/>
          <w:color w:val="000000" w:themeColor="text1"/>
          <w:sz w:val="22"/>
          <w:szCs w:val="22"/>
        </w:rPr>
        <w:t xml:space="preserve">more </w:t>
      </w:r>
      <w:r w:rsidR="00B84365">
        <w:rPr>
          <w:rFonts w:ascii="Gill Sans MT" w:hAnsi="Gill Sans MT"/>
          <w:color w:val="000000" w:themeColor="text1"/>
          <w:sz w:val="22"/>
          <w:szCs w:val="22"/>
        </w:rPr>
        <w:t>susceptible to spillover effects</w:t>
      </w:r>
      <w:r w:rsidR="00B72F8E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B84365">
        <w:rPr>
          <w:rFonts w:ascii="Gill Sans MT" w:hAnsi="Gill Sans MT"/>
          <w:color w:val="000000" w:themeColor="text1"/>
          <w:sz w:val="22"/>
          <w:szCs w:val="22"/>
        </w:rPr>
        <w:t xml:space="preserve">because the EU makes up a bigger proportion of UK trade than </w:t>
      </w:r>
      <w:r w:rsidR="00196AD6">
        <w:rPr>
          <w:rFonts w:ascii="Gill Sans MT" w:hAnsi="Gill Sans MT"/>
          <w:color w:val="000000" w:themeColor="text1"/>
          <w:sz w:val="22"/>
          <w:szCs w:val="22"/>
        </w:rPr>
        <w:t>the reverse</w:t>
      </w:r>
      <w:r w:rsidR="00AC0448">
        <w:rPr>
          <w:rFonts w:ascii="Gill Sans MT" w:hAnsi="Gill Sans MT"/>
          <w:color w:val="000000" w:themeColor="text1"/>
          <w:sz w:val="22"/>
          <w:szCs w:val="22"/>
        </w:rPr>
        <w:t>, thus violating a DiD assumption</w:t>
      </w:r>
      <w:r w:rsidR="00B72F8E">
        <w:rPr>
          <w:rFonts w:ascii="Gill Sans MT" w:hAnsi="Gill Sans MT"/>
          <w:color w:val="000000" w:themeColor="text1"/>
          <w:sz w:val="22"/>
          <w:szCs w:val="22"/>
        </w:rPr>
        <w:t>.</w:t>
      </w:r>
      <w:r w:rsidR="00C210B2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89610D">
        <w:rPr>
          <w:rFonts w:ascii="Gill Sans MT" w:hAnsi="Gill Sans MT"/>
          <w:color w:val="000000" w:themeColor="text1"/>
          <w:sz w:val="22"/>
          <w:szCs w:val="22"/>
        </w:rPr>
        <w:t>The</w:t>
      </w:r>
      <w:r w:rsidR="007930DA">
        <w:rPr>
          <w:rFonts w:ascii="Gill Sans MT" w:hAnsi="Gill Sans MT"/>
          <w:color w:val="000000" w:themeColor="text1"/>
          <w:sz w:val="22"/>
          <w:szCs w:val="22"/>
        </w:rPr>
        <w:t>y find</w:t>
      </w:r>
      <w:r w:rsidR="00B744EE">
        <w:rPr>
          <w:rFonts w:ascii="Gill Sans MT" w:hAnsi="Gill Sans MT"/>
          <w:color w:val="000000" w:themeColor="text1"/>
          <w:sz w:val="22"/>
          <w:szCs w:val="22"/>
        </w:rPr>
        <w:t xml:space="preserve"> that Brexit decreased UK </w:t>
      </w:r>
      <w:r w:rsidR="00787E0D">
        <w:rPr>
          <w:rFonts w:ascii="Gill Sans MT" w:hAnsi="Gill Sans MT"/>
          <w:color w:val="000000" w:themeColor="text1"/>
          <w:sz w:val="22"/>
          <w:szCs w:val="22"/>
        </w:rPr>
        <w:t xml:space="preserve">goods </w:t>
      </w:r>
      <w:r w:rsidR="00B744EE">
        <w:rPr>
          <w:rFonts w:ascii="Gill Sans MT" w:hAnsi="Gill Sans MT"/>
          <w:color w:val="000000" w:themeColor="text1"/>
          <w:sz w:val="22"/>
          <w:szCs w:val="22"/>
        </w:rPr>
        <w:t xml:space="preserve">imports </w:t>
      </w:r>
      <w:r w:rsidR="00787E0D">
        <w:rPr>
          <w:rFonts w:ascii="Gill Sans MT" w:hAnsi="Gill Sans MT"/>
          <w:color w:val="000000" w:themeColor="text1"/>
          <w:sz w:val="22"/>
          <w:szCs w:val="22"/>
        </w:rPr>
        <w:t>from</w:t>
      </w:r>
      <w:r w:rsidR="00B744EE">
        <w:rPr>
          <w:rFonts w:ascii="Gill Sans MT" w:hAnsi="Gill Sans MT"/>
          <w:color w:val="000000" w:themeColor="text1"/>
          <w:sz w:val="22"/>
          <w:szCs w:val="22"/>
        </w:rPr>
        <w:t xml:space="preserve"> the EU by </w:t>
      </w:r>
      <w:r w:rsidR="00787E0D">
        <w:rPr>
          <w:rFonts w:ascii="Gill Sans MT" w:hAnsi="Gill Sans MT"/>
          <w:color w:val="000000" w:themeColor="text1"/>
          <w:sz w:val="22"/>
          <w:szCs w:val="22"/>
        </w:rPr>
        <w:t>24</w:t>
      </w:r>
      <w:r w:rsidR="00B744EE">
        <w:rPr>
          <w:rFonts w:ascii="Gill Sans MT" w:hAnsi="Gill Sans MT"/>
          <w:color w:val="000000" w:themeColor="text1"/>
          <w:sz w:val="22"/>
          <w:szCs w:val="22"/>
        </w:rPr>
        <w:t xml:space="preserve">% and UK </w:t>
      </w:r>
      <w:r w:rsidR="00787E0D">
        <w:rPr>
          <w:rFonts w:ascii="Gill Sans MT" w:hAnsi="Gill Sans MT"/>
          <w:color w:val="000000" w:themeColor="text1"/>
          <w:sz w:val="22"/>
          <w:szCs w:val="22"/>
        </w:rPr>
        <w:t xml:space="preserve">goods </w:t>
      </w:r>
      <w:r w:rsidR="00B744EE">
        <w:rPr>
          <w:rFonts w:ascii="Gill Sans MT" w:hAnsi="Gill Sans MT"/>
          <w:color w:val="000000" w:themeColor="text1"/>
          <w:sz w:val="22"/>
          <w:szCs w:val="22"/>
        </w:rPr>
        <w:t>exports to</w:t>
      </w:r>
      <w:r w:rsidR="00787E0D">
        <w:rPr>
          <w:rFonts w:ascii="Gill Sans MT" w:hAnsi="Gill Sans MT"/>
          <w:color w:val="000000" w:themeColor="text1"/>
          <w:sz w:val="22"/>
          <w:szCs w:val="22"/>
        </w:rPr>
        <w:t xml:space="preserve"> the EU by 16%</w:t>
      </w:r>
      <w:r w:rsidR="001809E3">
        <w:rPr>
          <w:rFonts w:ascii="Gill Sans MT" w:hAnsi="Gill Sans MT"/>
          <w:color w:val="000000" w:themeColor="text1"/>
          <w:sz w:val="22"/>
          <w:szCs w:val="22"/>
        </w:rPr>
        <w:t>,</w:t>
      </w:r>
      <w:r w:rsidR="00156CD2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2068BF">
        <w:rPr>
          <w:rFonts w:ascii="Gill Sans MT" w:hAnsi="Gill Sans MT"/>
          <w:color w:val="000000" w:themeColor="text1"/>
          <w:sz w:val="22"/>
          <w:szCs w:val="22"/>
        </w:rPr>
        <w:t xml:space="preserve">with the hybrid dataset </w:t>
      </w:r>
      <w:r w:rsidR="001B5A28">
        <w:rPr>
          <w:rFonts w:ascii="Gill Sans MT" w:hAnsi="Gill Sans MT"/>
          <w:color w:val="000000" w:themeColor="text1"/>
          <w:sz w:val="22"/>
          <w:szCs w:val="22"/>
        </w:rPr>
        <w:t xml:space="preserve">estimating </w:t>
      </w:r>
      <w:r w:rsidR="003906BF">
        <w:rPr>
          <w:rFonts w:ascii="Gill Sans MT" w:hAnsi="Gill Sans MT"/>
          <w:color w:val="000000" w:themeColor="text1"/>
          <w:sz w:val="22"/>
          <w:szCs w:val="22"/>
        </w:rPr>
        <w:t>bigger welfare losses than the estimates by</w:t>
      </w:r>
      <w:r w:rsidR="002068BF">
        <w:rPr>
          <w:rFonts w:ascii="Gill Sans MT" w:hAnsi="Gill Sans MT"/>
          <w:color w:val="000000" w:themeColor="text1"/>
          <w:sz w:val="22"/>
          <w:szCs w:val="22"/>
        </w:rPr>
        <w:t xml:space="preserve"> Freeman et al. (2022)</w:t>
      </w:r>
      <w:r w:rsidR="00EA2353">
        <w:rPr>
          <w:rFonts w:ascii="Gill Sans MT" w:hAnsi="Gill Sans MT"/>
          <w:color w:val="000000" w:themeColor="text1"/>
          <w:sz w:val="22"/>
          <w:szCs w:val="22"/>
        </w:rPr>
        <w:t xml:space="preserve">. </w:t>
      </w:r>
    </w:p>
    <w:p w14:paraId="3F3290D4" w14:textId="77777777" w:rsidR="004968A3" w:rsidRDefault="004968A3" w:rsidP="00572C9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color w:val="000000" w:themeColor="text1"/>
          <w:sz w:val="22"/>
          <w:szCs w:val="22"/>
        </w:rPr>
      </w:pPr>
    </w:p>
    <w:p w14:paraId="30DD5D24" w14:textId="2ABFA2E9" w:rsidR="005D3B90" w:rsidRDefault="004A2988" w:rsidP="005D3B9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color w:val="000000" w:themeColor="text1"/>
          <w:sz w:val="22"/>
          <w:szCs w:val="22"/>
        </w:rPr>
      </w:pPr>
      <w:r>
        <w:rPr>
          <w:rFonts w:ascii="Gill Sans MT" w:hAnsi="Gill Sans MT"/>
          <w:b/>
          <w:bCs/>
          <w:color w:val="000000" w:themeColor="text1"/>
          <w:sz w:val="22"/>
          <w:szCs w:val="22"/>
        </w:rPr>
        <w:t>C</w:t>
      </w:r>
      <w:r w:rsidR="005D3B90">
        <w:rPr>
          <w:rFonts w:ascii="Gill Sans MT" w:hAnsi="Gill Sans MT"/>
          <w:b/>
          <w:bCs/>
          <w:color w:val="000000" w:themeColor="text1"/>
          <w:sz w:val="22"/>
          <w:szCs w:val="22"/>
        </w:rPr>
        <w:t xml:space="preserve">ontribution </w:t>
      </w:r>
    </w:p>
    <w:p w14:paraId="0A61D8F9" w14:textId="0AB5AB11" w:rsidR="005D3B90" w:rsidRPr="005D3B90" w:rsidRDefault="005D3B90" w:rsidP="005D3B9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ab/>
        <w:t xml:space="preserve">This paper </w:t>
      </w:r>
      <w:r w:rsidR="000278A5">
        <w:rPr>
          <w:rFonts w:ascii="Gill Sans MT" w:hAnsi="Gill Sans MT"/>
          <w:color w:val="000000" w:themeColor="text1"/>
          <w:sz w:val="22"/>
          <w:szCs w:val="22"/>
        </w:rPr>
        <w:t>aims to answer the questions stated in the introduction</w:t>
      </w:r>
      <w:r w:rsidR="005A494B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270DEF">
        <w:rPr>
          <w:rFonts w:ascii="Gill Sans MT" w:hAnsi="Gill Sans MT"/>
          <w:color w:val="000000" w:themeColor="text1"/>
          <w:sz w:val="22"/>
          <w:szCs w:val="22"/>
        </w:rPr>
        <w:t>by</w:t>
      </w:r>
      <w:r w:rsidR="005A494B">
        <w:rPr>
          <w:rFonts w:ascii="Gill Sans MT" w:hAnsi="Gill Sans MT"/>
          <w:color w:val="000000" w:themeColor="text1"/>
          <w:sz w:val="22"/>
          <w:szCs w:val="22"/>
        </w:rPr>
        <w:t xml:space="preserve"> </w:t>
      </w:r>
      <w:r w:rsidR="00270DEF">
        <w:rPr>
          <w:rFonts w:ascii="Gill Sans MT" w:hAnsi="Gill Sans MT"/>
          <w:color w:val="000000" w:themeColor="text1"/>
          <w:sz w:val="22"/>
          <w:szCs w:val="22"/>
        </w:rPr>
        <w:t>analysi</w:t>
      </w:r>
      <w:r w:rsidR="005A494B">
        <w:rPr>
          <w:rFonts w:ascii="Gill Sans MT" w:hAnsi="Gill Sans MT"/>
          <w:color w:val="000000" w:themeColor="text1"/>
          <w:sz w:val="22"/>
          <w:szCs w:val="22"/>
        </w:rPr>
        <w:t>ng</w:t>
      </w:r>
      <w:r w:rsidR="00270DEF">
        <w:rPr>
          <w:rFonts w:ascii="Gill Sans MT" w:hAnsi="Gill Sans MT"/>
          <w:color w:val="000000" w:themeColor="text1"/>
          <w:sz w:val="22"/>
          <w:szCs w:val="22"/>
        </w:rPr>
        <w:t xml:space="preserve"> Brexit’s </w:t>
      </w:r>
      <w:r w:rsidR="005A494B">
        <w:rPr>
          <w:rFonts w:ascii="Gill Sans MT" w:hAnsi="Gill Sans MT"/>
          <w:color w:val="000000" w:themeColor="text1"/>
          <w:sz w:val="22"/>
          <w:szCs w:val="22"/>
        </w:rPr>
        <w:t>effect</w:t>
      </w:r>
      <w:r w:rsidR="00270DEF">
        <w:rPr>
          <w:rFonts w:ascii="Gill Sans MT" w:hAnsi="Gill Sans MT"/>
          <w:color w:val="000000" w:themeColor="text1"/>
          <w:sz w:val="22"/>
          <w:szCs w:val="22"/>
        </w:rPr>
        <w:t xml:space="preserve"> on services trade with the most recent data and </w:t>
      </w:r>
      <w:r w:rsidR="005A494B">
        <w:rPr>
          <w:rFonts w:ascii="Gill Sans MT" w:hAnsi="Gill Sans MT"/>
          <w:color w:val="000000" w:themeColor="text1"/>
          <w:sz w:val="22"/>
          <w:szCs w:val="22"/>
        </w:rPr>
        <w:t xml:space="preserve">testing whether the hybrid dataset method developed by Kren and Lawless (2024) is relevant to services. </w:t>
      </w:r>
    </w:p>
    <w:p w14:paraId="149AE2CB" w14:textId="344CAE26" w:rsidR="00C00CED" w:rsidRPr="00002AA4" w:rsidRDefault="00C00CED" w:rsidP="00A9005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right"/>
        <w:rPr>
          <w:rFonts w:ascii="Gill Sans MT" w:hAnsi="Gill Sans MT"/>
          <w:sz w:val="22"/>
          <w:szCs w:val="22"/>
        </w:rPr>
      </w:pPr>
      <w:r w:rsidRPr="00002AA4">
        <w:rPr>
          <w:rFonts w:ascii="Gill Sans MT" w:hAnsi="Gill Sans MT"/>
          <w:sz w:val="22"/>
          <w:szCs w:val="22"/>
        </w:rPr>
        <w:t xml:space="preserve">My word count for this section: </w:t>
      </w:r>
      <w:r w:rsidR="00803D85">
        <w:rPr>
          <w:rFonts w:ascii="Gill Sans MT" w:hAnsi="Gill Sans MT"/>
          <w:sz w:val="22"/>
          <w:szCs w:val="22"/>
        </w:rPr>
        <w:t>11</w:t>
      </w:r>
      <w:r w:rsidR="00C21E1B">
        <w:rPr>
          <w:rFonts w:ascii="Gill Sans MT" w:hAnsi="Gill Sans MT"/>
          <w:sz w:val="22"/>
          <w:szCs w:val="22"/>
        </w:rPr>
        <w:t>47</w:t>
      </w:r>
    </w:p>
    <w:p w14:paraId="5D9C834B" w14:textId="77777777" w:rsidR="00DF5A63" w:rsidRDefault="00DF5A63" w:rsidP="00C00CED">
      <w:pPr>
        <w:rPr>
          <w:rFonts w:ascii="Gill Sans MT" w:hAnsi="Gill Sans MT"/>
          <w:sz w:val="22"/>
          <w:szCs w:val="22"/>
        </w:rPr>
      </w:pPr>
    </w:p>
    <w:p w14:paraId="7E34E531" w14:textId="484D4F96" w:rsidR="00C00CED" w:rsidRPr="00002AA4" w:rsidRDefault="00C00CED" w:rsidP="00C00CED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Data (This section is only relevant for ‘empirical dissertations’)</w:t>
      </w:r>
    </w:p>
    <w:p w14:paraId="51323E54" w14:textId="77777777" w:rsidR="00E04123" w:rsidRDefault="00E04123" w:rsidP="00BC31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394144C3" w14:textId="1BA81FA4" w:rsidR="008E6081" w:rsidRPr="009C2EBA" w:rsidRDefault="00885F08" w:rsidP="009C2EBA">
      <w:pPr>
        <w:pStyle w:val="ListParagraph"/>
        <w:numPr>
          <w:ilvl w:val="0"/>
          <w:numId w:val="14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1739B1">
        <w:rPr>
          <w:rFonts w:ascii="Gill Sans MT" w:hAnsi="Gill Sans MT"/>
          <w:sz w:val="22"/>
          <w:szCs w:val="22"/>
        </w:rPr>
        <w:t>My</w:t>
      </w:r>
      <w:r w:rsidR="00F0747B" w:rsidRPr="001739B1">
        <w:rPr>
          <w:rFonts w:ascii="Gill Sans MT" w:hAnsi="Gill Sans MT"/>
          <w:sz w:val="22"/>
          <w:szCs w:val="22"/>
        </w:rPr>
        <w:t xml:space="preserve"> primary dataset will be </w:t>
      </w:r>
      <w:r w:rsidR="00FC06B0" w:rsidRPr="001739B1">
        <w:rPr>
          <w:rFonts w:ascii="Gill Sans MT" w:hAnsi="Gill Sans MT"/>
          <w:sz w:val="22"/>
          <w:szCs w:val="22"/>
        </w:rPr>
        <w:t xml:space="preserve">the </w:t>
      </w:r>
      <w:r w:rsidR="00E5068F" w:rsidRPr="001739B1">
        <w:rPr>
          <w:rFonts w:ascii="Gill Sans MT" w:hAnsi="Gill Sans MT"/>
          <w:sz w:val="22"/>
          <w:szCs w:val="22"/>
        </w:rPr>
        <w:t>Office of National Statistics (ONS)</w:t>
      </w:r>
      <w:r w:rsidR="003B67B3" w:rsidRPr="001739B1">
        <w:rPr>
          <w:rFonts w:ascii="Gill Sans MT" w:hAnsi="Gill Sans MT"/>
          <w:sz w:val="22"/>
          <w:szCs w:val="22"/>
        </w:rPr>
        <w:t xml:space="preserve"> dataset ‘</w:t>
      </w:r>
      <w:r w:rsidR="009244A0" w:rsidRPr="001739B1">
        <w:rPr>
          <w:rFonts w:ascii="Gill Sans MT" w:hAnsi="Gill Sans MT"/>
          <w:sz w:val="22"/>
          <w:szCs w:val="22"/>
        </w:rPr>
        <w:t>UK total trade: all countries, non-seasonally adjusted</w:t>
      </w:r>
      <w:r w:rsidR="008A2CE8" w:rsidRPr="001739B1">
        <w:rPr>
          <w:rFonts w:ascii="Gill Sans MT" w:hAnsi="Gill Sans MT"/>
          <w:sz w:val="22"/>
          <w:szCs w:val="22"/>
        </w:rPr>
        <w:t>.</w:t>
      </w:r>
      <w:r w:rsidR="009244A0" w:rsidRPr="001739B1">
        <w:rPr>
          <w:rFonts w:ascii="Gill Sans MT" w:hAnsi="Gill Sans MT"/>
          <w:sz w:val="22"/>
          <w:szCs w:val="22"/>
        </w:rPr>
        <w:t>’</w:t>
      </w:r>
      <w:r w:rsidR="008E6081" w:rsidRPr="001739B1">
        <w:rPr>
          <w:rFonts w:ascii="Gill Sans MT" w:hAnsi="Gill Sans MT"/>
          <w:sz w:val="22"/>
          <w:szCs w:val="22"/>
        </w:rPr>
        <w:t xml:space="preserve"> </w:t>
      </w:r>
      <w:r w:rsidR="008E6081" w:rsidRPr="009C2EBA">
        <w:rPr>
          <w:rFonts w:ascii="Gill Sans MT" w:hAnsi="Gill Sans MT"/>
          <w:sz w:val="22"/>
          <w:szCs w:val="22"/>
        </w:rPr>
        <w:t>It contains data for 242 countries or country groups</w:t>
      </w:r>
      <w:r w:rsidR="00DD2B00" w:rsidRPr="009C2EBA">
        <w:rPr>
          <w:rFonts w:ascii="Gill Sans MT" w:hAnsi="Gill Sans MT"/>
          <w:sz w:val="22"/>
          <w:szCs w:val="22"/>
        </w:rPr>
        <w:t>, including the categories ‘Total EU27’ and ‘Total Extra EU27’.</w:t>
      </w:r>
    </w:p>
    <w:p w14:paraId="139A0069" w14:textId="2C891D93" w:rsidR="008E6081" w:rsidRDefault="008A2CE8" w:rsidP="00BC31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Sheet 5</w:t>
      </w:r>
      <w:r w:rsidR="009244A0">
        <w:rPr>
          <w:rFonts w:ascii="Gill Sans MT" w:hAnsi="Gill Sans MT"/>
          <w:sz w:val="22"/>
          <w:szCs w:val="22"/>
        </w:rPr>
        <w:t xml:space="preserve"> provides annual data </w:t>
      </w:r>
      <w:r w:rsidR="00782F35">
        <w:rPr>
          <w:rFonts w:ascii="Gill Sans MT" w:hAnsi="Gill Sans MT"/>
          <w:sz w:val="22"/>
          <w:szCs w:val="22"/>
        </w:rPr>
        <w:t xml:space="preserve">for trade in services </w:t>
      </w:r>
      <w:r w:rsidR="009244A0">
        <w:rPr>
          <w:rFonts w:ascii="Gill Sans MT" w:hAnsi="Gill Sans MT"/>
          <w:sz w:val="22"/>
          <w:szCs w:val="22"/>
        </w:rPr>
        <w:t>f</w:t>
      </w:r>
      <w:r w:rsidR="00DD2B00">
        <w:rPr>
          <w:rFonts w:ascii="Gill Sans MT" w:hAnsi="Gill Sans MT"/>
          <w:sz w:val="22"/>
          <w:szCs w:val="22"/>
        </w:rPr>
        <w:t xml:space="preserve">or 27 years, from </w:t>
      </w:r>
      <w:r w:rsidR="001A7E00">
        <w:rPr>
          <w:rFonts w:ascii="Gill Sans MT" w:hAnsi="Gill Sans MT"/>
          <w:sz w:val="22"/>
          <w:szCs w:val="22"/>
        </w:rPr>
        <w:t>1997 to 2023</w:t>
      </w:r>
      <w:r w:rsidR="008E6081">
        <w:rPr>
          <w:rFonts w:ascii="Gill Sans MT" w:hAnsi="Gill Sans MT"/>
          <w:sz w:val="22"/>
          <w:szCs w:val="22"/>
        </w:rPr>
        <w:t xml:space="preserve">. Sheet 5 has </w:t>
      </w:r>
      <w:r w:rsidR="002B48DA">
        <w:rPr>
          <w:rFonts w:ascii="Gill Sans MT" w:hAnsi="Gill Sans MT"/>
          <w:sz w:val="22"/>
          <w:szCs w:val="22"/>
        </w:rPr>
        <w:t xml:space="preserve">approximately </w:t>
      </w:r>
      <w:r w:rsidR="008E6081">
        <w:rPr>
          <w:rFonts w:ascii="Gill Sans MT" w:hAnsi="Gill Sans MT"/>
          <w:sz w:val="22"/>
          <w:szCs w:val="22"/>
        </w:rPr>
        <w:t>1</w:t>
      </w:r>
      <w:r w:rsidR="002B48DA">
        <w:rPr>
          <w:rFonts w:ascii="Gill Sans MT" w:hAnsi="Gill Sans MT"/>
          <w:sz w:val="22"/>
          <w:szCs w:val="22"/>
        </w:rPr>
        <w:t>3</w:t>
      </w:r>
      <w:r w:rsidR="008E6081">
        <w:rPr>
          <w:rFonts w:ascii="Gill Sans MT" w:hAnsi="Gill Sans MT"/>
          <w:sz w:val="22"/>
          <w:szCs w:val="22"/>
        </w:rPr>
        <w:t>,</w:t>
      </w:r>
      <w:r w:rsidR="002B48DA">
        <w:rPr>
          <w:rFonts w:ascii="Gill Sans MT" w:hAnsi="Gill Sans MT"/>
          <w:sz w:val="22"/>
          <w:szCs w:val="22"/>
        </w:rPr>
        <w:t>000</w:t>
      </w:r>
      <w:r w:rsidR="008E6081">
        <w:rPr>
          <w:rFonts w:ascii="Gill Sans MT" w:hAnsi="Gill Sans MT"/>
          <w:sz w:val="22"/>
          <w:szCs w:val="22"/>
        </w:rPr>
        <w:t xml:space="preserve"> observations.</w:t>
      </w:r>
    </w:p>
    <w:p w14:paraId="65C55F45" w14:textId="286B60DE" w:rsidR="00553D6C" w:rsidRDefault="008A2CE8" w:rsidP="00BC31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S</w:t>
      </w:r>
      <w:r w:rsidR="00F272BD">
        <w:rPr>
          <w:rFonts w:ascii="Gill Sans MT" w:hAnsi="Gill Sans MT"/>
          <w:sz w:val="22"/>
          <w:szCs w:val="22"/>
        </w:rPr>
        <w:t>heet</w:t>
      </w:r>
      <w:r>
        <w:rPr>
          <w:rFonts w:ascii="Gill Sans MT" w:hAnsi="Gill Sans MT"/>
          <w:sz w:val="22"/>
          <w:szCs w:val="22"/>
        </w:rPr>
        <w:t xml:space="preserve"> 6</w:t>
      </w:r>
      <w:r w:rsidR="00F272BD">
        <w:rPr>
          <w:rFonts w:ascii="Gill Sans MT" w:hAnsi="Gill Sans MT"/>
          <w:sz w:val="22"/>
          <w:szCs w:val="22"/>
        </w:rPr>
        <w:t xml:space="preserve"> provides </w:t>
      </w:r>
      <w:r w:rsidR="0017036C">
        <w:rPr>
          <w:rFonts w:ascii="Gill Sans MT" w:hAnsi="Gill Sans MT"/>
          <w:sz w:val="22"/>
          <w:szCs w:val="22"/>
        </w:rPr>
        <w:t xml:space="preserve">the same data, but </w:t>
      </w:r>
      <w:r w:rsidR="00782F35">
        <w:rPr>
          <w:rFonts w:ascii="Gill Sans MT" w:hAnsi="Gill Sans MT"/>
          <w:sz w:val="22"/>
          <w:szCs w:val="22"/>
        </w:rPr>
        <w:t>quarterly</w:t>
      </w:r>
      <w:r w:rsidR="0017036C">
        <w:rPr>
          <w:rFonts w:ascii="Gill Sans MT" w:hAnsi="Gill Sans MT"/>
          <w:sz w:val="22"/>
          <w:szCs w:val="22"/>
        </w:rPr>
        <w:t>, fo</w:t>
      </w:r>
      <w:r w:rsidR="00DD2B00">
        <w:rPr>
          <w:rFonts w:ascii="Gill Sans MT" w:hAnsi="Gill Sans MT"/>
          <w:sz w:val="22"/>
          <w:szCs w:val="22"/>
        </w:rPr>
        <w:t xml:space="preserve">r </w:t>
      </w:r>
      <w:r w:rsidR="00A510FD">
        <w:rPr>
          <w:rFonts w:ascii="Gill Sans MT" w:hAnsi="Gill Sans MT"/>
          <w:sz w:val="22"/>
          <w:szCs w:val="22"/>
        </w:rPr>
        <w:t>34 quarters</w:t>
      </w:r>
      <w:r w:rsidR="002B48DA">
        <w:rPr>
          <w:rFonts w:ascii="Gill Sans MT" w:hAnsi="Gill Sans MT"/>
          <w:sz w:val="22"/>
          <w:szCs w:val="22"/>
        </w:rPr>
        <w:t>,</w:t>
      </w:r>
      <w:r w:rsidR="00782F35">
        <w:rPr>
          <w:rFonts w:ascii="Gill Sans MT" w:hAnsi="Gill Sans MT"/>
          <w:sz w:val="22"/>
          <w:szCs w:val="22"/>
        </w:rPr>
        <w:t xml:space="preserve"> </w:t>
      </w:r>
      <w:r w:rsidR="00F272BD">
        <w:rPr>
          <w:rFonts w:ascii="Gill Sans MT" w:hAnsi="Gill Sans MT"/>
          <w:sz w:val="22"/>
          <w:szCs w:val="22"/>
        </w:rPr>
        <w:t>from 2016Q1 to 2024Q2</w:t>
      </w:r>
      <w:r w:rsidR="002B48DA">
        <w:rPr>
          <w:rFonts w:ascii="Gill Sans MT" w:hAnsi="Gill Sans MT"/>
          <w:sz w:val="22"/>
          <w:szCs w:val="22"/>
        </w:rPr>
        <w:t>,</w:t>
      </w:r>
      <w:r w:rsidR="00A510FD">
        <w:rPr>
          <w:rFonts w:ascii="Gill Sans MT" w:hAnsi="Gill Sans MT"/>
          <w:sz w:val="22"/>
          <w:szCs w:val="22"/>
        </w:rPr>
        <w:t xml:space="preserve"> </w:t>
      </w:r>
      <w:r w:rsidR="00782F35">
        <w:rPr>
          <w:rFonts w:ascii="Gill Sans MT" w:hAnsi="Gill Sans MT"/>
          <w:sz w:val="22"/>
          <w:szCs w:val="22"/>
        </w:rPr>
        <w:t>enabling</w:t>
      </w:r>
      <w:r w:rsidR="001E3F2A">
        <w:rPr>
          <w:rFonts w:ascii="Gill Sans MT" w:hAnsi="Gill Sans MT"/>
          <w:sz w:val="22"/>
          <w:szCs w:val="22"/>
        </w:rPr>
        <w:t xml:space="preserve"> a detailed view when it is most needed</w:t>
      </w:r>
      <w:r w:rsidR="00782F35">
        <w:rPr>
          <w:rFonts w:ascii="Gill Sans MT" w:hAnsi="Gill Sans MT"/>
          <w:sz w:val="22"/>
          <w:szCs w:val="22"/>
        </w:rPr>
        <w:t>.</w:t>
      </w:r>
      <w:r w:rsidR="0050206F">
        <w:rPr>
          <w:rFonts w:ascii="Gill Sans MT" w:hAnsi="Gill Sans MT"/>
          <w:sz w:val="22"/>
          <w:szCs w:val="22"/>
        </w:rPr>
        <w:t xml:space="preserve"> </w:t>
      </w:r>
      <w:r w:rsidR="008E6081">
        <w:rPr>
          <w:rFonts w:ascii="Gill Sans MT" w:hAnsi="Gill Sans MT"/>
          <w:sz w:val="22"/>
          <w:szCs w:val="22"/>
        </w:rPr>
        <w:t xml:space="preserve">Sheet 6 has </w:t>
      </w:r>
      <w:r w:rsidR="002B48DA">
        <w:rPr>
          <w:rFonts w:ascii="Gill Sans MT" w:hAnsi="Gill Sans MT"/>
          <w:sz w:val="22"/>
          <w:szCs w:val="22"/>
        </w:rPr>
        <w:t xml:space="preserve">approximately </w:t>
      </w:r>
      <w:r w:rsidR="008E6081">
        <w:rPr>
          <w:rFonts w:ascii="Gill Sans MT" w:hAnsi="Gill Sans MT"/>
          <w:sz w:val="22"/>
          <w:szCs w:val="22"/>
        </w:rPr>
        <w:t>16</w:t>
      </w:r>
      <w:r w:rsidR="002B48DA">
        <w:rPr>
          <w:rFonts w:ascii="Gill Sans MT" w:hAnsi="Gill Sans MT"/>
          <w:sz w:val="22"/>
          <w:szCs w:val="22"/>
        </w:rPr>
        <w:t>,000</w:t>
      </w:r>
      <w:r w:rsidR="008E6081">
        <w:rPr>
          <w:rFonts w:ascii="Gill Sans MT" w:hAnsi="Gill Sans MT"/>
          <w:sz w:val="22"/>
          <w:szCs w:val="22"/>
        </w:rPr>
        <w:t xml:space="preserve"> observations. </w:t>
      </w:r>
    </w:p>
    <w:p w14:paraId="2BD67B5B" w14:textId="7917BE0B" w:rsidR="00A10BE2" w:rsidRDefault="003A391F" w:rsidP="00BC31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The TCA effect can be visualised clearly for imports (</w:t>
      </w:r>
      <w:r w:rsidR="00A01FAC">
        <w:rPr>
          <w:rFonts w:ascii="Gill Sans MT" w:hAnsi="Gill Sans MT"/>
          <w:sz w:val="22"/>
          <w:szCs w:val="22"/>
        </w:rPr>
        <w:t>Figure 2), but not for exports (Figure 3.)</w:t>
      </w:r>
    </w:p>
    <w:p w14:paraId="66F3DD46" w14:textId="4E33BA6E" w:rsidR="00A10BE2" w:rsidRDefault="002F1D1B" w:rsidP="00A10BE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&lt;</w:t>
      </w:r>
      <w:r w:rsidR="001E0521">
        <w:rPr>
          <w:rFonts w:ascii="Gill Sans MT" w:hAnsi="Gill Sans MT"/>
          <w:sz w:val="22"/>
          <w:szCs w:val="22"/>
        </w:rPr>
        <w:t xml:space="preserve"> Insert</w:t>
      </w:r>
      <w:r>
        <w:rPr>
          <w:rFonts w:ascii="Gill Sans MT" w:hAnsi="Gill Sans MT"/>
          <w:sz w:val="22"/>
          <w:szCs w:val="22"/>
        </w:rPr>
        <w:t xml:space="preserve"> Figure 2 </w:t>
      </w:r>
      <w:r w:rsidR="0030544E">
        <w:rPr>
          <w:rFonts w:ascii="Gill Sans MT" w:hAnsi="Gill Sans MT"/>
          <w:sz w:val="22"/>
          <w:szCs w:val="22"/>
        </w:rPr>
        <w:t>h</w:t>
      </w:r>
      <w:r w:rsidR="001E0521">
        <w:rPr>
          <w:rFonts w:ascii="Gill Sans MT" w:hAnsi="Gill Sans MT"/>
          <w:sz w:val="22"/>
          <w:szCs w:val="22"/>
        </w:rPr>
        <w:t xml:space="preserve">ere </w:t>
      </w:r>
      <w:r>
        <w:rPr>
          <w:rFonts w:ascii="Gill Sans MT" w:hAnsi="Gill Sans MT"/>
          <w:sz w:val="22"/>
          <w:szCs w:val="22"/>
        </w:rPr>
        <w:t>&gt;</w:t>
      </w:r>
    </w:p>
    <w:p w14:paraId="5DC52AD3" w14:textId="6A47D1D4" w:rsidR="0030544E" w:rsidRDefault="0030544E" w:rsidP="002F1D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&lt; Insert Figure 3 here &gt;</w:t>
      </w:r>
    </w:p>
    <w:p w14:paraId="48E0CAC8" w14:textId="3619593A" w:rsidR="00BA1883" w:rsidRDefault="00BA1883" w:rsidP="00572C9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3AC1CED6" w14:textId="13B1EADF" w:rsidR="00BA1883" w:rsidRDefault="00BA1883" w:rsidP="001739B1">
      <w:pPr>
        <w:pStyle w:val="ListParagraph"/>
        <w:numPr>
          <w:ilvl w:val="0"/>
          <w:numId w:val="14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1739B1">
        <w:rPr>
          <w:rFonts w:ascii="Gill Sans MT" w:hAnsi="Gill Sans MT"/>
          <w:sz w:val="22"/>
          <w:szCs w:val="22"/>
        </w:rPr>
        <w:t xml:space="preserve">My secondary dataset will be the ONS dataset </w:t>
      </w:r>
      <w:r w:rsidR="00303B00" w:rsidRPr="001739B1">
        <w:rPr>
          <w:rFonts w:ascii="Gill Sans MT" w:hAnsi="Gill Sans MT"/>
          <w:sz w:val="22"/>
          <w:szCs w:val="22"/>
        </w:rPr>
        <w:t xml:space="preserve">“UK trade in services: service type by partner country, non-seasonally adjusted” which </w:t>
      </w:r>
      <w:r w:rsidR="000B4CE2" w:rsidRPr="001739B1">
        <w:rPr>
          <w:rFonts w:ascii="Gill Sans MT" w:hAnsi="Gill Sans MT"/>
          <w:sz w:val="22"/>
          <w:szCs w:val="22"/>
        </w:rPr>
        <w:t xml:space="preserve">has the benefit of having sector-specific breakdowns for </w:t>
      </w:r>
      <w:r w:rsidR="00D31D84" w:rsidRPr="001739B1">
        <w:rPr>
          <w:rFonts w:ascii="Gill Sans MT" w:hAnsi="Gill Sans MT"/>
          <w:sz w:val="22"/>
          <w:szCs w:val="22"/>
        </w:rPr>
        <w:t>73 distinct</w:t>
      </w:r>
      <w:r w:rsidR="00D16B73" w:rsidRPr="001739B1">
        <w:rPr>
          <w:rFonts w:ascii="Gill Sans MT" w:hAnsi="Gill Sans MT"/>
          <w:sz w:val="22"/>
          <w:szCs w:val="22"/>
        </w:rPr>
        <w:t xml:space="preserve"> service </w:t>
      </w:r>
      <w:r w:rsidR="00241D0A" w:rsidRPr="001739B1">
        <w:rPr>
          <w:rFonts w:ascii="Gill Sans MT" w:hAnsi="Gill Sans MT"/>
          <w:sz w:val="22"/>
          <w:szCs w:val="22"/>
        </w:rPr>
        <w:t>type</w:t>
      </w:r>
      <w:r w:rsidR="00D93D3C" w:rsidRPr="001739B1">
        <w:rPr>
          <w:rFonts w:ascii="Gill Sans MT" w:hAnsi="Gill Sans MT"/>
          <w:sz w:val="22"/>
          <w:szCs w:val="22"/>
        </w:rPr>
        <w:t xml:space="preserve">s, by partner, </w:t>
      </w:r>
      <w:r w:rsidR="00241D0A" w:rsidRPr="001739B1">
        <w:rPr>
          <w:rFonts w:ascii="Gill Sans MT" w:hAnsi="Gill Sans MT"/>
          <w:sz w:val="22"/>
          <w:szCs w:val="22"/>
        </w:rPr>
        <w:t>but</w:t>
      </w:r>
      <w:r w:rsidR="00D16B73" w:rsidRPr="001739B1">
        <w:rPr>
          <w:rFonts w:ascii="Gill Sans MT" w:hAnsi="Gill Sans MT"/>
          <w:sz w:val="22"/>
          <w:szCs w:val="22"/>
        </w:rPr>
        <w:t xml:space="preserve"> is limited </w:t>
      </w:r>
      <w:r w:rsidR="00BB5A8E" w:rsidRPr="001739B1">
        <w:rPr>
          <w:rFonts w:ascii="Gill Sans MT" w:hAnsi="Gill Sans MT"/>
          <w:sz w:val="22"/>
          <w:szCs w:val="22"/>
        </w:rPr>
        <w:t>as it started in</w:t>
      </w:r>
      <w:r w:rsidR="00D31D84" w:rsidRPr="001739B1">
        <w:rPr>
          <w:rFonts w:ascii="Gill Sans MT" w:hAnsi="Gill Sans MT"/>
          <w:sz w:val="22"/>
          <w:szCs w:val="22"/>
        </w:rPr>
        <w:t xml:space="preserve"> 2016Q1</w:t>
      </w:r>
      <w:r w:rsidR="001F3B0C">
        <w:rPr>
          <w:rFonts w:ascii="Gill Sans MT" w:hAnsi="Gill Sans MT"/>
          <w:sz w:val="22"/>
          <w:szCs w:val="22"/>
        </w:rPr>
        <w:t>; the UK government changed how they categorise products in 2016Q1</w:t>
      </w:r>
      <w:r w:rsidR="00241D0A" w:rsidRPr="001739B1">
        <w:rPr>
          <w:rFonts w:ascii="Gill Sans MT" w:hAnsi="Gill Sans MT"/>
          <w:sz w:val="22"/>
          <w:szCs w:val="22"/>
        </w:rPr>
        <w:t xml:space="preserve">. </w:t>
      </w:r>
    </w:p>
    <w:p w14:paraId="4CDA1C9A" w14:textId="26A538A4" w:rsidR="001739B1" w:rsidRPr="001739B1" w:rsidRDefault="001739B1" w:rsidP="001739B1">
      <w:pPr>
        <w:pStyle w:val="ListParagraph"/>
        <w:numPr>
          <w:ilvl w:val="0"/>
          <w:numId w:val="14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To test the conclusion of Kren and Lawless (2024)</w:t>
      </w:r>
      <w:r w:rsidR="00D86C43">
        <w:rPr>
          <w:rFonts w:ascii="Gill Sans MT" w:hAnsi="Gill Sans MT"/>
          <w:sz w:val="22"/>
          <w:szCs w:val="22"/>
        </w:rPr>
        <w:t xml:space="preserve"> I will use the Eurostat dataset: ‘Total Services, detailed geographical breakdown</w:t>
      </w:r>
      <w:r w:rsidR="00B70A20">
        <w:rPr>
          <w:rFonts w:ascii="Gill Sans MT" w:hAnsi="Gill Sans MT"/>
          <w:sz w:val="22"/>
          <w:szCs w:val="22"/>
        </w:rPr>
        <w:t>’</w:t>
      </w:r>
      <w:r w:rsidR="00D86C43">
        <w:rPr>
          <w:rFonts w:ascii="Gill Sans MT" w:hAnsi="Gill Sans MT"/>
          <w:sz w:val="22"/>
          <w:szCs w:val="22"/>
        </w:rPr>
        <w:t>, annual, 2010 to 2022</w:t>
      </w:r>
      <w:r w:rsidR="008C7844">
        <w:rPr>
          <w:rFonts w:ascii="Gill Sans MT" w:hAnsi="Gill Sans MT"/>
          <w:sz w:val="22"/>
          <w:szCs w:val="22"/>
        </w:rPr>
        <w:t xml:space="preserve">, </w:t>
      </w:r>
      <w:r w:rsidR="002E755E">
        <w:rPr>
          <w:rFonts w:ascii="Gill Sans MT" w:hAnsi="Gill Sans MT"/>
          <w:sz w:val="22"/>
          <w:szCs w:val="22"/>
        </w:rPr>
        <w:t>and/</w:t>
      </w:r>
      <w:r w:rsidR="008C7844">
        <w:rPr>
          <w:rFonts w:ascii="Gill Sans MT" w:hAnsi="Gill Sans MT"/>
          <w:sz w:val="22"/>
          <w:szCs w:val="22"/>
        </w:rPr>
        <w:t xml:space="preserve">or </w:t>
      </w:r>
      <w:r w:rsidR="00B97F0A">
        <w:rPr>
          <w:rFonts w:ascii="Gill Sans MT" w:hAnsi="Gill Sans MT"/>
          <w:sz w:val="22"/>
          <w:szCs w:val="22"/>
        </w:rPr>
        <w:t>‘International Trade in Services’, annual, 2010 to 2023.</w:t>
      </w:r>
    </w:p>
    <w:p w14:paraId="7CEE35A8" w14:textId="77777777" w:rsidR="00BB5A8E" w:rsidRDefault="00BB5A8E" w:rsidP="00572C9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</w:p>
    <w:p w14:paraId="184B5175" w14:textId="7667C327" w:rsidR="00BB5A8E" w:rsidRDefault="00BB5A8E" w:rsidP="00BB5A8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The datasets are publicly </w:t>
      </w:r>
      <w:r w:rsidR="00F93362">
        <w:rPr>
          <w:rFonts w:ascii="Gill Sans MT" w:hAnsi="Gill Sans MT"/>
          <w:sz w:val="22"/>
          <w:szCs w:val="22"/>
        </w:rPr>
        <w:t>available and</w:t>
      </w:r>
      <w:r>
        <w:rPr>
          <w:rFonts w:ascii="Gill Sans MT" w:hAnsi="Gill Sans MT"/>
          <w:sz w:val="22"/>
          <w:szCs w:val="22"/>
        </w:rPr>
        <w:t xml:space="preserve"> can be found </w:t>
      </w:r>
      <w:r w:rsidR="00D43B60">
        <w:rPr>
          <w:rFonts w:ascii="Gill Sans MT" w:hAnsi="Gill Sans MT"/>
          <w:sz w:val="22"/>
          <w:szCs w:val="22"/>
        </w:rPr>
        <w:t>in the ONS</w:t>
      </w:r>
      <w:r w:rsidR="001739B1">
        <w:rPr>
          <w:rFonts w:ascii="Gill Sans MT" w:hAnsi="Gill Sans MT"/>
          <w:sz w:val="22"/>
          <w:szCs w:val="22"/>
        </w:rPr>
        <w:t xml:space="preserve"> or Eurostat</w:t>
      </w:r>
      <w:r w:rsidR="00D43B60">
        <w:rPr>
          <w:rFonts w:ascii="Gill Sans MT" w:hAnsi="Gill Sans MT"/>
          <w:sz w:val="22"/>
          <w:szCs w:val="22"/>
        </w:rPr>
        <w:t xml:space="preserve"> website</w:t>
      </w:r>
      <w:r w:rsidR="001739B1">
        <w:rPr>
          <w:rFonts w:ascii="Gill Sans MT" w:hAnsi="Gill Sans MT"/>
          <w:sz w:val="22"/>
          <w:szCs w:val="22"/>
        </w:rPr>
        <w:t>s</w:t>
      </w:r>
      <w:r w:rsidR="00D93D3C">
        <w:rPr>
          <w:rFonts w:ascii="Gill Sans MT" w:hAnsi="Gill Sans MT"/>
          <w:sz w:val="22"/>
          <w:szCs w:val="22"/>
        </w:rPr>
        <w:t xml:space="preserve">. </w:t>
      </w:r>
    </w:p>
    <w:p w14:paraId="200A749F" w14:textId="77777777" w:rsidR="00E04123" w:rsidRDefault="00E04123" w:rsidP="00BB5A8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5B2BD769" w14:textId="77777777" w:rsidR="00381AAB" w:rsidRPr="00002AA4" w:rsidRDefault="00381AAB" w:rsidP="00A90054">
      <w:pPr>
        <w:rPr>
          <w:rFonts w:ascii="Gill Sans MT" w:hAnsi="Gill Sans MT"/>
          <w:sz w:val="22"/>
          <w:szCs w:val="22"/>
        </w:rPr>
      </w:pPr>
    </w:p>
    <w:p w14:paraId="0BE93B3A" w14:textId="445D31F2" w:rsidR="00A90054" w:rsidRPr="00002AA4" w:rsidRDefault="00A90054" w:rsidP="00A90054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Method</w:t>
      </w:r>
      <w:r w:rsidR="00542878">
        <w:rPr>
          <w:rFonts w:ascii="Gill Sans MT" w:hAnsi="Gill Sans MT"/>
          <w:b/>
          <w:bCs/>
          <w:color w:val="FFFFFF" w:themeColor="background1"/>
          <w:sz w:val="22"/>
          <w:szCs w:val="22"/>
        </w:rPr>
        <w:t>s</w:t>
      </w:r>
    </w:p>
    <w:p w14:paraId="0D91C876" w14:textId="77777777" w:rsidR="00A90054" w:rsidRPr="00002AA4" w:rsidRDefault="00A90054" w:rsidP="00A9005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10"/>
          <w:szCs w:val="10"/>
        </w:rPr>
      </w:pPr>
    </w:p>
    <w:p w14:paraId="751B57BC" w14:textId="77777777" w:rsidR="0017036C" w:rsidRDefault="0017036C" w:rsidP="00FD72C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sz w:val="22"/>
          <w:szCs w:val="22"/>
        </w:rPr>
      </w:pPr>
    </w:p>
    <w:p w14:paraId="22B9B352" w14:textId="3A6FFBCA" w:rsidR="00FD72C3" w:rsidRPr="00FD72C3" w:rsidRDefault="00FD72C3" w:rsidP="00FD72C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>1</w:t>
      </w:r>
    </w:p>
    <w:p w14:paraId="63E77BE3" w14:textId="72240836" w:rsidR="00942F84" w:rsidRPr="00FD72C3" w:rsidRDefault="009F02FD" w:rsidP="00FD72C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My benchmark analysis </w:t>
      </w:r>
      <w:r w:rsidR="00D43B60" w:rsidRPr="00FD72C3">
        <w:rPr>
          <w:rFonts w:ascii="Gill Sans MT" w:hAnsi="Gill Sans MT"/>
          <w:sz w:val="22"/>
          <w:szCs w:val="22"/>
        </w:rPr>
        <w:t xml:space="preserve">will use </w:t>
      </w:r>
      <w:r w:rsidR="00B40FD2" w:rsidRPr="00FD72C3">
        <w:rPr>
          <w:rFonts w:ascii="Gill Sans MT" w:hAnsi="Gill Sans MT"/>
          <w:sz w:val="22"/>
          <w:szCs w:val="22"/>
        </w:rPr>
        <w:t xml:space="preserve">my primary dataset to conduct </w:t>
      </w:r>
      <w:r w:rsidR="00D43B60" w:rsidRPr="00FD72C3">
        <w:rPr>
          <w:rFonts w:ascii="Gill Sans MT" w:hAnsi="Gill Sans MT"/>
          <w:sz w:val="22"/>
          <w:szCs w:val="22"/>
        </w:rPr>
        <w:t>a DiD</w:t>
      </w:r>
      <w:r w:rsidR="007B0C6F" w:rsidRPr="00FD72C3">
        <w:rPr>
          <w:rFonts w:ascii="Gill Sans MT" w:hAnsi="Gill Sans MT"/>
          <w:sz w:val="22"/>
          <w:szCs w:val="22"/>
        </w:rPr>
        <w:t xml:space="preserve"> analysis</w:t>
      </w:r>
      <w:r w:rsidR="003F5CCD" w:rsidRPr="00FD72C3">
        <w:rPr>
          <w:rFonts w:ascii="Gill Sans MT" w:hAnsi="Gill Sans MT"/>
          <w:sz w:val="22"/>
          <w:szCs w:val="22"/>
        </w:rPr>
        <w:t xml:space="preserve"> with</w:t>
      </w:r>
      <w:r w:rsidR="004359DA" w:rsidRPr="00FD72C3">
        <w:rPr>
          <w:rFonts w:ascii="Gill Sans MT" w:hAnsi="Gill Sans MT"/>
          <w:sz w:val="22"/>
          <w:szCs w:val="22"/>
        </w:rPr>
        <w:t>:</w:t>
      </w:r>
      <w:r w:rsidR="003F5CCD" w:rsidRPr="00FD72C3">
        <w:rPr>
          <w:rFonts w:ascii="Gill Sans MT" w:hAnsi="Gill Sans MT"/>
          <w:sz w:val="22"/>
          <w:szCs w:val="22"/>
        </w:rPr>
        <w:t xml:space="preserve"> </w:t>
      </w:r>
      <w:r w:rsidR="007B0C6F" w:rsidRPr="00FD72C3">
        <w:rPr>
          <w:rFonts w:ascii="Gill Sans MT" w:hAnsi="Gill Sans MT"/>
          <w:sz w:val="22"/>
          <w:szCs w:val="22"/>
        </w:rPr>
        <w:t>UK-</w:t>
      </w:r>
      <w:r w:rsidR="006767C9" w:rsidRPr="00FD72C3">
        <w:rPr>
          <w:rFonts w:ascii="Gill Sans MT" w:hAnsi="Gill Sans MT"/>
          <w:sz w:val="22"/>
          <w:szCs w:val="22"/>
        </w:rPr>
        <w:t xml:space="preserve">ROW </w:t>
      </w:r>
      <w:r w:rsidR="003F5CCD" w:rsidRPr="00FD72C3">
        <w:rPr>
          <w:rFonts w:ascii="Gill Sans MT" w:hAnsi="Gill Sans MT"/>
          <w:sz w:val="22"/>
          <w:szCs w:val="22"/>
        </w:rPr>
        <w:t>as</w:t>
      </w:r>
      <w:r w:rsidR="006767C9" w:rsidRPr="00FD72C3">
        <w:rPr>
          <w:rFonts w:ascii="Gill Sans MT" w:hAnsi="Gill Sans MT"/>
          <w:sz w:val="22"/>
          <w:szCs w:val="22"/>
        </w:rPr>
        <w:t xml:space="preserve"> the control group</w:t>
      </w:r>
      <w:r w:rsidR="004359DA" w:rsidRPr="00FD72C3">
        <w:rPr>
          <w:rFonts w:ascii="Gill Sans MT" w:hAnsi="Gill Sans MT"/>
          <w:sz w:val="22"/>
          <w:szCs w:val="22"/>
        </w:rPr>
        <w:t xml:space="preserve">, </w:t>
      </w:r>
      <w:r w:rsidR="006767C9" w:rsidRPr="00FD72C3">
        <w:rPr>
          <w:rFonts w:ascii="Gill Sans MT" w:hAnsi="Gill Sans MT"/>
          <w:sz w:val="22"/>
          <w:szCs w:val="22"/>
        </w:rPr>
        <w:t xml:space="preserve">UK-EU </w:t>
      </w:r>
      <w:r w:rsidR="003F5CCD" w:rsidRPr="00FD72C3">
        <w:rPr>
          <w:rFonts w:ascii="Gill Sans MT" w:hAnsi="Gill Sans MT"/>
          <w:sz w:val="22"/>
          <w:szCs w:val="22"/>
        </w:rPr>
        <w:t>as</w:t>
      </w:r>
      <w:r w:rsidR="006767C9" w:rsidRPr="00FD72C3">
        <w:rPr>
          <w:rFonts w:ascii="Gill Sans MT" w:hAnsi="Gill Sans MT"/>
          <w:sz w:val="22"/>
          <w:szCs w:val="22"/>
        </w:rPr>
        <w:t xml:space="preserve"> the treatment grou</w:t>
      </w:r>
      <w:r w:rsidR="00D41E14" w:rsidRPr="00FD72C3">
        <w:rPr>
          <w:rFonts w:ascii="Gill Sans MT" w:hAnsi="Gill Sans MT"/>
          <w:sz w:val="22"/>
          <w:szCs w:val="22"/>
        </w:rPr>
        <w:t>p</w:t>
      </w:r>
      <w:r w:rsidR="004359DA" w:rsidRPr="00FD72C3">
        <w:rPr>
          <w:rFonts w:ascii="Gill Sans MT" w:hAnsi="Gill Sans MT"/>
          <w:sz w:val="22"/>
          <w:szCs w:val="22"/>
        </w:rPr>
        <w:t xml:space="preserve"> and </w:t>
      </w:r>
      <w:r w:rsidR="003F5CCD" w:rsidRPr="00FD72C3">
        <w:rPr>
          <w:rFonts w:ascii="Gill Sans MT" w:hAnsi="Gill Sans MT"/>
          <w:sz w:val="22"/>
          <w:szCs w:val="22"/>
        </w:rPr>
        <w:t>t</w:t>
      </w:r>
      <w:r w:rsidR="006767C9" w:rsidRPr="00FD72C3">
        <w:rPr>
          <w:rFonts w:ascii="Gill Sans MT" w:hAnsi="Gill Sans MT"/>
          <w:sz w:val="22"/>
          <w:szCs w:val="22"/>
        </w:rPr>
        <w:t xml:space="preserve">wo treatments: </w:t>
      </w:r>
      <w:r w:rsidR="00222504">
        <w:rPr>
          <w:rFonts w:ascii="Gill Sans MT" w:hAnsi="Gill Sans MT"/>
          <w:sz w:val="22"/>
          <w:szCs w:val="22"/>
        </w:rPr>
        <w:t>1. R</w:t>
      </w:r>
      <w:r w:rsidR="006767C9" w:rsidRPr="00FD72C3">
        <w:rPr>
          <w:rFonts w:ascii="Gill Sans MT" w:hAnsi="Gill Sans MT"/>
          <w:sz w:val="22"/>
          <w:szCs w:val="22"/>
        </w:rPr>
        <w:t>eferendum</w:t>
      </w:r>
      <w:r w:rsidR="00222504">
        <w:rPr>
          <w:rFonts w:ascii="Gill Sans MT" w:hAnsi="Gill Sans MT"/>
          <w:sz w:val="22"/>
          <w:szCs w:val="22"/>
        </w:rPr>
        <w:t xml:space="preserve">: </w:t>
      </w:r>
      <w:r w:rsidR="00A1332D" w:rsidRPr="00FD72C3">
        <w:rPr>
          <w:rFonts w:ascii="Gill Sans MT" w:hAnsi="Gill Sans MT"/>
          <w:sz w:val="22"/>
          <w:szCs w:val="22"/>
        </w:rPr>
        <w:t>J</w:t>
      </w:r>
      <w:r w:rsidR="006767C9" w:rsidRPr="00FD72C3">
        <w:rPr>
          <w:rFonts w:ascii="Gill Sans MT" w:hAnsi="Gill Sans MT"/>
          <w:sz w:val="22"/>
          <w:szCs w:val="22"/>
        </w:rPr>
        <w:t>une 2016</w:t>
      </w:r>
      <w:r w:rsidR="00222504">
        <w:rPr>
          <w:rFonts w:ascii="Gill Sans MT" w:hAnsi="Gill Sans MT"/>
          <w:sz w:val="22"/>
          <w:szCs w:val="22"/>
        </w:rPr>
        <w:t xml:space="preserve"> 2. </w:t>
      </w:r>
      <w:r w:rsidR="00A1332D" w:rsidRPr="00FD72C3">
        <w:rPr>
          <w:rFonts w:ascii="Gill Sans MT" w:hAnsi="Gill Sans MT"/>
          <w:sz w:val="22"/>
          <w:szCs w:val="22"/>
        </w:rPr>
        <w:t>TCA</w:t>
      </w:r>
      <w:r w:rsidR="00222504">
        <w:rPr>
          <w:rFonts w:ascii="Gill Sans MT" w:hAnsi="Gill Sans MT"/>
          <w:sz w:val="22"/>
          <w:szCs w:val="22"/>
        </w:rPr>
        <w:t>:</w:t>
      </w:r>
      <w:r w:rsidR="00A1332D" w:rsidRPr="00FD72C3">
        <w:rPr>
          <w:rFonts w:ascii="Gill Sans MT" w:hAnsi="Gill Sans MT"/>
          <w:sz w:val="22"/>
          <w:szCs w:val="22"/>
        </w:rPr>
        <w:t xml:space="preserve"> December 2020.</w:t>
      </w:r>
      <w:r w:rsidR="00942F84" w:rsidRPr="00FD72C3">
        <w:rPr>
          <w:rFonts w:ascii="Gill Sans MT" w:hAnsi="Gill Sans MT"/>
          <w:sz w:val="22"/>
          <w:szCs w:val="22"/>
        </w:rPr>
        <w:t xml:space="preserve"> </w:t>
      </w:r>
      <w:r w:rsidR="00EC703C" w:rsidRPr="00FD72C3">
        <w:rPr>
          <w:rFonts w:ascii="Gill Sans MT" w:hAnsi="Gill Sans MT"/>
          <w:sz w:val="22"/>
          <w:szCs w:val="22"/>
        </w:rPr>
        <w:t>F</w:t>
      </w:r>
      <w:r w:rsidR="00942F84" w:rsidRPr="00FD72C3">
        <w:rPr>
          <w:rFonts w:ascii="Gill Sans MT" w:hAnsi="Gill Sans MT"/>
          <w:sz w:val="22"/>
          <w:szCs w:val="22"/>
        </w:rPr>
        <w:t xml:space="preserve">ixed effects control for pre-treatment </w:t>
      </w:r>
      <w:r w:rsidR="00D41E14" w:rsidRPr="00FD72C3">
        <w:rPr>
          <w:rFonts w:ascii="Gill Sans MT" w:hAnsi="Gill Sans MT"/>
          <w:sz w:val="22"/>
          <w:szCs w:val="22"/>
        </w:rPr>
        <w:t>differences</w:t>
      </w:r>
      <w:r w:rsidR="00942F84" w:rsidRPr="00FD72C3">
        <w:rPr>
          <w:rFonts w:ascii="Gill Sans MT" w:hAnsi="Gill Sans MT"/>
          <w:sz w:val="22"/>
          <w:szCs w:val="22"/>
        </w:rPr>
        <w:t xml:space="preserve">, satisfying the parallel trends assumption. </w:t>
      </w:r>
      <w:r w:rsidR="00EC703C" w:rsidRPr="00FD72C3">
        <w:rPr>
          <w:rFonts w:ascii="Gill Sans MT" w:hAnsi="Gill Sans MT"/>
          <w:sz w:val="22"/>
          <w:szCs w:val="22"/>
        </w:rPr>
        <w:t xml:space="preserve">Assuming </w:t>
      </w:r>
      <w:r w:rsidR="00942F84" w:rsidRPr="00FD72C3">
        <w:rPr>
          <w:rFonts w:ascii="Gill Sans MT" w:hAnsi="Gill Sans MT"/>
          <w:sz w:val="22"/>
          <w:szCs w:val="22"/>
        </w:rPr>
        <w:t>no spillover effects between the treatments and UK-ROW trade</w:t>
      </w:r>
      <w:r w:rsidR="00EC703C" w:rsidRPr="00FD72C3">
        <w:rPr>
          <w:rFonts w:ascii="Gill Sans MT" w:hAnsi="Gill Sans MT"/>
          <w:sz w:val="22"/>
          <w:szCs w:val="22"/>
        </w:rPr>
        <w:t xml:space="preserve">, </w:t>
      </w:r>
      <w:r w:rsidR="004359DA" w:rsidRPr="00FD72C3">
        <w:rPr>
          <w:rFonts w:ascii="Gill Sans MT" w:hAnsi="Gill Sans MT"/>
          <w:sz w:val="22"/>
          <w:szCs w:val="22"/>
        </w:rPr>
        <w:t>it</w:t>
      </w:r>
      <w:r w:rsidR="00942F84" w:rsidRPr="00FD72C3">
        <w:rPr>
          <w:rFonts w:ascii="Gill Sans MT" w:hAnsi="Gill Sans MT"/>
          <w:sz w:val="22"/>
          <w:szCs w:val="22"/>
        </w:rPr>
        <w:t xml:space="preserve"> </w:t>
      </w:r>
      <w:r w:rsidR="00D41E14" w:rsidRPr="00FD72C3">
        <w:rPr>
          <w:rFonts w:ascii="Gill Sans MT" w:hAnsi="Gill Sans MT"/>
          <w:sz w:val="22"/>
          <w:szCs w:val="22"/>
        </w:rPr>
        <w:t xml:space="preserve">will </w:t>
      </w:r>
      <w:r w:rsidR="00EC703C" w:rsidRPr="00FD72C3">
        <w:rPr>
          <w:rFonts w:ascii="Gill Sans MT" w:hAnsi="Gill Sans MT"/>
          <w:sz w:val="22"/>
          <w:szCs w:val="22"/>
        </w:rPr>
        <w:t>estimate</w:t>
      </w:r>
      <w:r w:rsidR="00942F84" w:rsidRPr="00FD72C3">
        <w:rPr>
          <w:rFonts w:ascii="Gill Sans MT" w:hAnsi="Gill Sans MT"/>
          <w:sz w:val="22"/>
          <w:szCs w:val="22"/>
        </w:rPr>
        <w:t xml:space="preserve"> </w:t>
      </w:r>
      <w:r w:rsidR="00EC703C" w:rsidRPr="00FD72C3">
        <w:rPr>
          <w:rFonts w:ascii="Gill Sans MT" w:hAnsi="Gill Sans MT"/>
          <w:sz w:val="22"/>
          <w:szCs w:val="22"/>
        </w:rPr>
        <w:t>a</w:t>
      </w:r>
      <w:r w:rsidR="00942F84" w:rsidRPr="00FD72C3">
        <w:rPr>
          <w:rFonts w:ascii="Gill Sans MT" w:hAnsi="Gill Sans MT"/>
          <w:sz w:val="22"/>
          <w:szCs w:val="22"/>
        </w:rPr>
        <w:t xml:space="preserve"> causal effect </w:t>
      </w:r>
      <w:r w:rsidR="006F29D7">
        <w:rPr>
          <w:rFonts w:ascii="Gill Sans MT" w:hAnsi="Gill Sans MT"/>
          <w:sz w:val="22"/>
          <w:szCs w:val="22"/>
        </w:rPr>
        <w:t xml:space="preserve">of </w:t>
      </w:r>
      <w:r w:rsidR="004D6998">
        <w:rPr>
          <w:rFonts w:ascii="Gill Sans MT" w:hAnsi="Gill Sans MT"/>
          <w:sz w:val="22"/>
          <w:szCs w:val="22"/>
        </w:rPr>
        <w:t>the treatments</w:t>
      </w:r>
      <w:r w:rsidR="00942F84" w:rsidRPr="00FD72C3">
        <w:rPr>
          <w:rFonts w:ascii="Gill Sans MT" w:hAnsi="Gill Sans MT"/>
          <w:sz w:val="22"/>
          <w:szCs w:val="22"/>
        </w:rPr>
        <w:t xml:space="preserve"> on services trade.</w:t>
      </w:r>
    </w:p>
    <w:p w14:paraId="3ACA68A3" w14:textId="7F42255E" w:rsidR="00C228F3" w:rsidRDefault="0033182F" w:rsidP="004D69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I expect</w:t>
      </w:r>
      <w:r w:rsidR="004D6998">
        <w:rPr>
          <w:rFonts w:ascii="Gill Sans MT" w:hAnsi="Gill Sans MT"/>
          <w:sz w:val="22"/>
          <w:szCs w:val="22"/>
        </w:rPr>
        <w:t xml:space="preserve"> the</w:t>
      </w:r>
      <w:r w:rsidR="002320D4">
        <w:rPr>
          <w:rFonts w:ascii="Gill Sans MT" w:hAnsi="Gill Sans MT"/>
          <w:sz w:val="22"/>
          <w:szCs w:val="22"/>
        </w:rPr>
        <w:t xml:space="preserve"> </w:t>
      </w:r>
      <w:r w:rsidR="004D6998">
        <w:rPr>
          <w:rFonts w:ascii="Gill Sans MT" w:hAnsi="Gill Sans MT"/>
          <w:sz w:val="22"/>
          <w:szCs w:val="22"/>
        </w:rPr>
        <w:t xml:space="preserve">Poisson Pseudo-maximum Likelihood (PPML) estimator </w:t>
      </w:r>
      <w:r>
        <w:rPr>
          <w:rFonts w:ascii="Gill Sans MT" w:hAnsi="Gill Sans MT"/>
          <w:sz w:val="22"/>
          <w:szCs w:val="22"/>
        </w:rPr>
        <w:t>to</w:t>
      </w:r>
      <w:r w:rsidR="00850B8C">
        <w:rPr>
          <w:rFonts w:ascii="Gill Sans MT" w:hAnsi="Gill Sans MT"/>
          <w:sz w:val="22"/>
          <w:szCs w:val="22"/>
        </w:rPr>
        <w:t xml:space="preserve"> be</w:t>
      </w:r>
      <w:r w:rsidR="004359DA">
        <w:rPr>
          <w:rFonts w:ascii="Gill Sans MT" w:hAnsi="Gill Sans MT"/>
          <w:sz w:val="22"/>
          <w:szCs w:val="22"/>
        </w:rPr>
        <w:t xml:space="preserve"> appropriate </w:t>
      </w:r>
      <w:r>
        <w:rPr>
          <w:rFonts w:ascii="Gill Sans MT" w:hAnsi="Gill Sans MT"/>
          <w:sz w:val="22"/>
          <w:szCs w:val="22"/>
        </w:rPr>
        <w:t xml:space="preserve">due to </w:t>
      </w:r>
      <w:r w:rsidR="00137CA3">
        <w:rPr>
          <w:rFonts w:ascii="Gill Sans MT" w:hAnsi="Gill Sans MT"/>
          <w:sz w:val="22"/>
          <w:szCs w:val="22"/>
        </w:rPr>
        <w:t>zero trade flows and heteroskedasticity</w:t>
      </w:r>
      <w:r w:rsidR="00850B8C">
        <w:rPr>
          <w:rFonts w:ascii="Gill Sans MT" w:hAnsi="Gill Sans MT"/>
          <w:sz w:val="22"/>
          <w:szCs w:val="22"/>
        </w:rPr>
        <w:t>.</w:t>
      </w:r>
      <w:r w:rsidR="00BB2AB1">
        <w:rPr>
          <w:rFonts w:ascii="Gill Sans MT" w:hAnsi="Gill Sans MT"/>
          <w:sz w:val="22"/>
          <w:szCs w:val="22"/>
        </w:rPr>
        <w:t xml:space="preserve"> </w:t>
      </w:r>
    </w:p>
    <w:p w14:paraId="508CE1A8" w14:textId="56BE0D38" w:rsidR="00C228F3" w:rsidRDefault="00A918A2" w:rsidP="007B0C6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Robustness:</w:t>
      </w:r>
    </w:p>
    <w:p w14:paraId="214185F4" w14:textId="77777777" w:rsidR="00C228F3" w:rsidRDefault="00C228F3" w:rsidP="00C228F3">
      <w:pPr>
        <w:pStyle w:val="ListParagraph"/>
        <w:numPr>
          <w:ilvl w:val="0"/>
          <w:numId w:val="1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lastRenderedPageBreak/>
        <w:t xml:space="preserve">Use </w:t>
      </w:r>
      <w:r w:rsidR="00BB2AB1" w:rsidRPr="00C228F3">
        <w:rPr>
          <w:rFonts w:ascii="Gill Sans MT" w:hAnsi="Gill Sans MT"/>
          <w:sz w:val="22"/>
          <w:szCs w:val="22"/>
        </w:rPr>
        <w:t xml:space="preserve">the Ordinary Least Squares (OLS) estimator. </w:t>
      </w:r>
    </w:p>
    <w:p w14:paraId="395237E8" w14:textId="7F0C3EAF" w:rsidR="00E62686" w:rsidRDefault="00C228F3" w:rsidP="00C228F3">
      <w:pPr>
        <w:pStyle w:val="ListParagraph"/>
        <w:numPr>
          <w:ilvl w:val="0"/>
          <w:numId w:val="1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C</w:t>
      </w:r>
      <w:r w:rsidR="00D6028E" w:rsidRPr="00C228F3">
        <w:rPr>
          <w:rFonts w:ascii="Gill Sans MT" w:hAnsi="Gill Sans MT"/>
          <w:sz w:val="22"/>
          <w:szCs w:val="22"/>
        </w:rPr>
        <w:t>hange the</w:t>
      </w:r>
      <w:r w:rsidRPr="00C228F3">
        <w:rPr>
          <w:rFonts w:ascii="Gill Sans MT" w:hAnsi="Gill Sans MT"/>
          <w:sz w:val="22"/>
          <w:szCs w:val="22"/>
        </w:rPr>
        <w:t xml:space="preserve"> </w:t>
      </w:r>
      <w:r w:rsidR="00D6028E" w:rsidRPr="00C228F3">
        <w:rPr>
          <w:rFonts w:ascii="Gill Sans MT" w:hAnsi="Gill Sans MT"/>
          <w:sz w:val="22"/>
          <w:szCs w:val="22"/>
        </w:rPr>
        <w:t xml:space="preserve">TCA </w:t>
      </w:r>
      <w:r w:rsidR="00012E8F">
        <w:rPr>
          <w:rFonts w:ascii="Gill Sans MT" w:hAnsi="Gill Sans MT"/>
          <w:sz w:val="22"/>
          <w:szCs w:val="22"/>
        </w:rPr>
        <w:t xml:space="preserve">date </w:t>
      </w:r>
      <w:r w:rsidR="00D6028E" w:rsidRPr="00C228F3">
        <w:rPr>
          <w:rFonts w:ascii="Gill Sans MT" w:hAnsi="Gill Sans MT"/>
          <w:sz w:val="22"/>
          <w:szCs w:val="22"/>
        </w:rPr>
        <w:t xml:space="preserve">to </w:t>
      </w:r>
      <w:r w:rsidRPr="00C228F3">
        <w:rPr>
          <w:rFonts w:ascii="Gill Sans MT" w:hAnsi="Gill Sans MT"/>
          <w:sz w:val="22"/>
          <w:szCs w:val="22"/>
        </w:rPr>
        <w:t xml:space="preserve">May 2021 – </w:t>
      </w:r>
      <w:r w:rsidR="00D41E14">
        <w:rPr>
          <w:rFonts w:ascii="Gill Sans MT" w:hAnsi="Gill Sans MT"/>
          <w:sz w:val="22"/>
          <w:szCs w:val="22"/>
        </w:rPr>
        <w:t xml:space="preserve">when </w:t>
      </w:r>
      <w:r w:rsidRPr="00C228F3">
        <w:rPr>
          <w:rFonts w:ascii="Gill Sans MT" w:hAnsi="Gill Sans MT"/>
          <w:sz w:val="22"/>
          <w:szCs w:val="22"/>
        </w:rPr>
        <w:t xml:space="preserve">it came into force after </w:t>
      </w:r>
      <w:r w:rsidR="00514F6C">
        <w:rPr>
          <w:rFonts w:ascii="Gill Sans MT" w:hAnsi="Gill Sans MT"/>
          <w:sz w:val="22"/>
          <w:szCs w:val="22"/>
        </w:rPr>
        <w:t>a</w:t>
      </w:r>
      <w:r w:rsidRPr="00C228F3">
        <w:rPr>
          <w:rFonts w:ascii="Gill Sans MT" w:hAnsi="Gill Sans MT"/>
          <w:sz w:val="22"/>
          <w:szCs w:val="22"/>
        </w:rPr>
        <w:t xml:space="preserve"> transition period.</w:t>
      </w:r>
    </w:p>
    <w:p w14:paraId="0220536C" w14:textId="4A65463B" w:rsidR="00C228F3" w:rsidRDefault="00C228F3" w:rsidP="00C228F3">
      <w:pPr>
        <w:pStyle w:val="ListParagraph"/>
        <w:numPr>
          <w:ilvl w:val="0"/>
          <w:numId w:val="1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Vary fixed effects.</w:t>
      </w:r>
    </w:p>
    <w:p w14:paraId="0770B1B0" w14:textId="61EE623B" w:rsidR="00E31808" w:rsidRPr="00C228F3" w:rsidRDefault="00E31808" w:rsidP="00C228F3">
      <w:pPr>
        <w:pStyle w:val="ListParagraph"/>
        <w:numPr>
          <w:ilvl w:val="0"/>
          <w:numId w:val="13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Dynamic effects</w:t>
      </w:r>
      <w:r w:rsidR="00514F6C">
        <w:rPr>
          <w:rFonts w:ascii="Gill Sans MT" w:hAnsi="Gill Sans MT"/>
          <w:sz w:val="22"/>
          <w:szCs w:val="22"/>
        </w:rPr>
        <w:t>. D</w:t>
      </w:r>
      <w:r w:rsidR="001F20DF">
        <w:rPr>
          <w:rFonts w:ascii="Gill Sans MT" w:hAnsi="Gill Sans MT"/>
          <w:sz w:val="22"/>
          <w:szCs w:val="22"/>
        </w:rPr>
        <w:t xml:space="preserve">id the treatments </w:t>
      </w:r>
      <w:r w:rsidR="00012E8F">
        <w:rPr>
          <w:rFonts w:ascii="Gill Sans MT" w:hAnsi="Gill Sans MT"/>
          <w:sz w:val="22"/>
          <w:szCs w:val="22"/>
        </w:rPr>
        <w:t>affect</w:t>
      </w:r>
      <w:r w:rsidR="001F20DF">
        <w:rPr>
          <w:rFonts w:ascii="Gill Sans MT" w:hAnsi="Gill Sans MT"/>
          <w:sz w:val="22"/>
          <w:szCs w:val="22"/>
        </w:rPr>
        <w:t xml:space="preserve"> trade at a constant rate</w:t>
      </w:r>
      <w:r w:rsidR="00514F6C">
        <w:rPr>
          <w:rFonts w:ascii="Gill Sans MT" w:hAnsi="Gill Sans MT"/>
          <w:sz w:val="22"/>
          <w:szCs w:val="22"/>
        </w:rPr>
        <w:t xml:space="preserve"> or was </w:t>
      </w:r>
      <w:r w:rsidR="001F20DF">
        <w:rPr>
          <w:rFonts w:ascii="Gill Sans MT" w:hAnsi="Gill Sans MT"/>
          <w:sz w:val="22"/>
          <w:szCs w:val="22"/>
        </w:rPr>
        <w:t>there a</w:t>
      </w:r>
      <w:r w:rsidR="00012E8F">
        <w:rPr>
          <w:rFonts w:ascii="Gill Sans MT" w:hAnsi="Gill Sans MT"/>
          <w:sz w:val="22"/>
          <w:szCs w:val="22"/>
        </w:rPr>
        <w:t xml:space="preserve">n initial </w:t>
      </w:r>
      <w:r w:rsidR="001F20DF">
        <w:rPr>
          <w:rFonts w:ascii="Gill Sans MT" w:hAnsi="Gill Sans MT"/>
          <w:sz w:val="22"/>
          <w:szCs w:val="22"/>
        </w:rPr>
        <w:t>shock</w:t>
      </w:r>
      <w:r w:rsidR="00F00820">
        <w:rPr>
          <w:rFonts w:ascii="Gill Sans MT" w:hAnsi="Gill Sans MT"/>
          <w:sz w:val="22"/>
          <w:szCs w:val="22"/>
        </w:rPr>
        <w:t>?</w:t>
      </w:r>
    </w:p>
    <w:p w14:paraId="52BB9131" w14:textId="77777777" w:rsidR="006767C9" w:rsidRPr="00D347AC" w:rsidRDefault="006767C9" w:rsidP="007B0C6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color w:val="FF0000"/>
          <w:sz w:val="22"/>
          <w:szCs w:val="22"/>
        </w:rPr>
      </w:pPr>
    </w:p>
    <w:p w14:paraId="7B91FD8A" w14:textId="08B9440C" w:rsidR="007F544E" w:rsidRPr="003A0DBD" w:rsidRDefault="000D0C58" w:rsidP="007F5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eastAsiaTheme="minorEastAsia" w:hAnsi="Gill Sans MT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ijt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Referendum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TCA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jt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ipt</m:t>
              </m:r>
            </m:sub>
          </m:sSub>
        </m:oMath>
      </m:oMathPara>
    </w:p>
    <w:p w14:paraId="2AB893F7" w14:textId="77777777" w:rsidR="007F544E" w:rsidRPr="003A0DBD" w:rsidRDefault="007F544E" w:rsidP="007F5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6"/>
          <w:szCs w:val="26"/>
        </w:rPr>
      </w:pPr>
    </w:p>
    <w:p w14:paraId="061135E3" w14:textId="77777777" w:rsidR="007F544E" w:rsidRDefault="007F544E" w:rsidP="007F5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Where: </w:t>
      </w:r>
    </w:p>
    <w:p w14:paraId="5D4D000F" w14:textId="78B467ED" w:rsidR="007F544E" w:rsidRDefault="007F544E" w:rsidP="007F544E">
      <w:pPr>
        <w:pStyle w:val="ListParagraph"/>
        <w:numPr>
          <w:ilvl w:val="0"/>
          <w:numId w:val="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740B98">
        <w:rPr>
          <w:rFonts w:ascii="Cambria Math" w:hAnsi="Cambria Math"/>
          <w:i/>
          <w:iCs/>
          <w:sz w:val="22"/>
          <w:szCs w:val="22"/>
        </w:rPr>
        <w:t>T</w:t>
      </w:r>
      <w:r w:rsidRPr="00740B98">
        <w:rPr>
          <w:rFonts w:ascii="Gill Sans MT" w:hAnsi="Gill Sans MT"/>
          <w:sz w:val="22"/>
          <w:szCs w:val="22"/>
        </w:rPr>
        <w:t xml:space="preserve"> represents </w:t>
      </w:r>
      <w:r w:rsidR="00687BED">
        <w:rPr>
          <w:rFonts w:ascii="Gill Sans MT" w:hAnsi="Gill Sans MT"/>
          <w:sz w:val="22"/>
          <w:szCs w:val="22"/>
        </w:rPr>
        <w:t xml:space="preserve">services </w:t>
      </w:r>
      <w:r w:rsidRPr="00740B98">
        <w:rPr>
          <w:rFonts w:ascii="Gill Sans MT" w:hAnsi="Gill Sans MT"/>
          <w:sz w:val="22"/>
          <w:szCs w:val="22"/>
        </w:rPr>
        <w:t xml:space="preserve">trade flows into (imports) or out of (exports) </w:t>
      </w:r>
      <m:oMath>
        <m:r>
          <w:rPr>
            <w:rFonts w:ascii="Cambria Math" w:hAnsi="Cambria Math"/>
            <w:sz w:val="22"/>
            <w:szCs w:val="22"/>
          </w:rPr>
          <m:t xml:space="preserve">i </m:t>
        </m:r>
      </m:oMath>
      <w:r w:rsidRPr="00740B98">
        <w:rPr>
          <w:rFonts w:ascii="Gill Sans MT" w:eastAsiaTheme="minorEastAsia" w:hAnsi="Gill Sans MT"/>
          <w:sz w:val="22"/>
          <w:szCs w:val="22"/>
        </w:rPr>
        <w:t xml:space="preserve">(the </w:t>
      </w:r>
      <w:r w:rsidRPr="00740B98">
        <w:rPr>
          <w:rFonts w:ascii="Gill Sans MT" w:hAnsi="Gill Sans MT"/>
          <w:sz w:val="22"/>
          <w:szCs w:val="22"/>
        </w:rPr>
        <w:t>EU27/UK), to each partner country</w:t>
      </w:r>
      <w:r w:rsidRPr="00740B98">
        <w:rPr>
          <w:rFonts w:ascii="Gill Sans MT" w:hAnsi="Gill Sans MT"/>
          <w:sz w:val="18"/>
          <w:szCs w:val="18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Pr="00740B98">
        <w:rPr>
          <w:rFonts w:ascii="Gill Sans MT" w:hAnsi="Gill Sans MT"/>
          <w:sz w:val="18"/>
          <w:szCs w:val="18"/>
        </w:rPr>
        <w:t xml:space="preserve"> </w:t>
      </w:r>
      <w:r w:rsidRPr="00740B98">
        <w:rPr>
          <w:rFonts w:ascii="Gill Sans MT" w:hAnsi="Gill Sans MT"/>
          <w:sz w:val="22"/>
          <w:szCs w:val="22"/>
        </w:rPr>
        <w:t xml:space="preserve">in </w:t>
      </w:r>
      <w:r>
        <w:rPr>
          <w:rFonts w:ascii="Gill Sans MT" w:hAnsi="Gill Sans MT"/>
          <w:sz w:val="22"/>
          <w:szCs w:val="22"/>
        </w:rPr>
        <w:t>period</w:t>
      </w:r>
      <w:r w:rsidRPr="00740B98">
        <w:rPr>
          <w:rFonts w:ascii="Gill Sans MT" w:hAnsi="Gill Sans MT"/>
          <w:sz w:val="22"/>
          <w:szCs w:val="22"/>
        </w:rPr>
        <w:t xml:space="preserve"> </w:t>
      </w:r>
      <w:r w:rsidRPr="00740B98">
        <w:rPr>
          <w:rFonts w:ascii="Cambria Math" w:hAnsi="Cambria Math"/>
          <w:i/>
          <w:iCs/>
          <w:sz w:val="22"/>
          <w:szCs w:val="22"/>
        </w:rPr>
        <w:t>t</w:t>
      </w:r>
      <w:r w:rsidRPr="00740B98">
        <w:rPr>
          <w:rFonts w:ascii="Gill Sans MT" w:hAnsi="Gill Sans MT"/>
          <w:sz w:val="22"/>
          <w:szCs w:val="22"/>
        </w:rPr>
        <w:t xml:space="preserve"> (annual from 1997 to 2015, quarterly from 2016Q1 to present.)</w:t>
      </w:r>
    </w:p>
    <w:p w14:paraId="6E081AEF" w14:textId="3983CAFF" w:rsidR="007F544E" w:rsidRPr="002077E7" w:rsidRDefault="007F544E" w:rsidP="007F544E">
      <w:pPr>
        <w:pStyle w:val="ListParagraph"/>
        <w:numPr>
          <w:ilvl w:val="0"/>
          <w:numId w:val="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i/>
          <w:iCs/>
          <w:sz w:val="22"/>
          <w:szCs w:val="22"/>
        </w:rPr>
      </w:pPr>
      <w:r w:rsidRPr="00740B98">
        <w:rPr>
          <w:rFonts w:ascii="Cambria Math" w:hAnsi="Cambria Math"/>
          <w:i/>
          <w:iCs/>
          <w:sz w:val="22"/>
          <w:szCs w:val="22"/>
        </w:rPr>
        <w:t>Referendum</w:t>
      </w:r>
      <w:r>
        <w:rPr>
          <w:rFonts w:ascii="Cambria Math" w:hAnsi="Cambria Math"/>
          <w:i/>
          <w:iCs/>
          <w:sz w:val="22"/>
          <w:szCs w:val="22"/>
        </w:rPr>
        <w:t xml:space="preserve"> </w:t>
      </w:r>
      <w:r w:rsidRPr="002077E7">
        <w:rPr>
          <w:rFonts w:ascii="Gill Sans MT" w:hAnsi="Gill Sans MT"/>
          <w:sz w:val="22"/>
          <w:szCs w:val="22"/>
        </w:rPr>
        <w:t>is a dummy equal to one for period</w:t>
      </w:r>
      <w:r w:rsidR="00133636">
        <w:rPr>
          <w:rFonts w:ascii="Gill Sans MT" w:hAnsi="Gill Sans MT"/>
          <w:sz w:val="22"/>
          <w:szCs w:val="22"/>
        </w:rPr>
        <w:t>s</w:t>
      </w:r>
      <w:r w:rsidRPr="002077E7">
        <w:rPr>
          <w:rFonts w:ascii="Gill Sans MT" w:hAnsi="Gill Sans MT"/>
          <w:sz w:val="22"/>
          <w:szCs w:val="22"/>
        </w:rPr>
        <w:t xml:space="preserve"> after the referendum (July 2016 onwards).</w:t>
      </w:r>
    </w:p>
    <w:p w14:paraId="4D0401D8" w14:textId="27A3C709" w:rsidR="006B2ADC" w:rsidRPr="006B2ADC" w:rsidRDefault="007F544E" w:rsidP="006B2ADC">
      <w:pPr>
        <w:pStyle w:val="ListParagraph"/>
        <w:numPr>
          <w:ilvl w:val="0"/>
          <w:numId w:val="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i/>
          <w:iCs/>
          <w:sz w:val="22"/>
          <w:szCs w:val="22"/>
        </w:rPr>
      </w:pPr>
      <w:r>
        <w:rPr>
          <w:rFonts w:ascii="Cambria Math" w:hAnsi="Cambria Math"/>
          <w:i/>
          <w:iCs/>
          <w:sz w:val="22"/>
          <w:szCs w:val="22"/>
        </w:rPr>
        <w:t xml:space="preserve">TCA </w:t>
      </w:r>
      <w:r w:rsidRPr="00BF12A7">
        <w:rPr>
          <w:rFonts w:ascii="Gill Sans MT" w:hAnsi="Gill Sans MT"/>
          <w:sz w:val="22"/>
          <w:szCs w:val="22"/>
        </w:rPr>
        <w:t>is a dummy equal to one for period</w:t>
      </w:r>
      <w:r w:rsidR="00133636">
        <w:rPr>
          <w:rFonts w:ascii="Gill Sans MT" w:hAnsi="Gill Sans MT"/>
          <w:sz w:val="22"/>
          <w:szCs w:val="22"/>
        </w:rPr>
        <w:t>s</w:t>
      </w:r>
      <w:r w:rsidRPr="00BF12A7">
        <w:rPr>
          <w:rFonts w:ascii="Gill Sans MT" w:hAnsi="Gill Sans MT"/>
          <w:sz w:val="22"/>
          <w:szCs w:val="22"/>
        </w:rPr>
        <w:t xml:space="preserve"> after the TCA (January 2021 onwards).</w:t>
      </w:r>
      <w:r w:rsidR="006B2ADC">
        <w:rPr>
          <w:rFonts w:ascii="Gill Sans MT" w:hAnsi="Gill Sans MT"/>
          <w:sz w:val="22"/>
          <w:szCs w:val="22"/>
        </w:rPr>
        <w:t xml:space="preserve"> </w:t>
      </w:r>
    </w:p>
    <w:p w14:paraId="5A2015BD" w14:textId="511766E1" w:rsidR="006B2ADC" w:rsidRPr="006B2ADC" w:rsidRDefault="007F544E" w:rsidP="006B2AD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i/>
          <w:iCs/>
          <w:sz w:val="22"/>
          <w:szCs w:val="22"/>
        </w:rPr>
      </w:pPr>
      <w:r w:rsidRPr="006B2ADC">
        <w:rPr>
          <w:rFonts w:ascii="Gill Sans MT" w:hAnsi="Gill Sans MT"/>
          <w:sz w:val="22"/>
          <w:szCs w:val="22"/>
        </w:rPr>
        <w:t>Both are interacted with a UK dummy.</w:t>
      </w:r>
    </w:p>
    <w:p w14:paraId="34804AED" w14:textId="77777777" w:rsidR="006B2ADC" w:rsidRPr="006B2ADC" w:rsidRDefault="000D0C58" w:rsidP="006B2ADC">
      <w:pPr>
        <w:pStyle w:val="ListParagraph"/>
        <w:numPr>
          <w:ilvl w:val="0"/>
          <w:numId w:val="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jt</m:t>
            </m:r>
          </m:sub>
        </m:sSub>
      </m:oMath>
      <w:r w:rsidR="00687BED" w:rsidRPr="006B2ADC">
        <w:rPr>
          <w:rFonts w:ascii="Gill Sans MT" w:eastAsiaTheme="minorEastAsia" w:hAnsi="Gill Sans MT"/>
          <w:i/>
          <w:sz w:val="26"/>
          <w:szCs w:val="26"/>
        </w:rPr>
        <w:t xml:space="preserve"> </w:t>
      </w:r>
      <w:r w:rsidR="00687BED" w:rsidRPr="006B2ADC">
        <w:rPr>
          <w:rFonts w:ascii="Gill Sans MT" w:eastAsiaTheme="minorEastAsia" w:hAnsi="Gill Sans MT"/>
          <w:iCs/>
          <w:sz w:val="22"/>
          <w:szCs w:val="22"/>
        </w:rPr>
        <w:t>are partner-period fixed effects</w:t>
      </w:r>
      <w:r w:rsidR="006B2ADC" w:rsidRPr="006B2ADC">
        <w:rPr>
          <w:rFonts w:ascii="Gill Sans MT" w:eastAsiaTheme="minorEastAsia" w:hAnsi="Gill Sans MT"/>
          <w:iCs/>
          <w:sz w:val="22"/>
          <w:szCs w:val="22"/>
        </w:rPr>
        <w:t>.</w:t>
      </w:r>
    </w:p>
    <w:p w14:paraId="66E04D28" w14:textId="78FCA8BD" w:rsidR="00747DAF" w:rsidRPr="006B2ADC" w:rsidRDefault="000D0C58" w:rsidP="006B2ADC">
      <w:pPr>
        <w:pStyle w:val="ListParagraph"/>
        <w:numPr>
          <w:ilvl w:val="0"/>
          <w:numId w:val="6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2016</m:t>
            </m:r>
            <m:r>
              <w:rPr>
                <w:rFonts w:ascii="Cambria Math" w:hAnsi="Cambria Math"/>
                <w:sz w:val="22"/>
                <w:szCs w:val="22"/>
              </w:rPr>
              <m:t>Q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2016</m:t>
            </m:r>
            <m:r>
              <w:rPr>
                <w:rFonts w:ascii="Cambria Math" w:hAnsi="Cambria Math"/>
                <w:sz w:val="22"/>
                <w:szCs w:val="22"/>
              </w:rPr>
              <m:t>Q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+…+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2024</m:t>
            </m:r>
            <m:r>
              <w:rPr>
                <w:rFonts w:ascii="Cambria Math" w:hAnsi="Cambria Math"/>
                <w:sz w:val="22"/>
                <w:szCs w:val="22"/>
              </w:rPr>
              <m:t>Q</m:t>
            </m:r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747DAF" w:rsidRPr="006B2ADC">
        <w:rPr>
          <w:rFonts w:ascii="Gill Sans MT" w:eastAsiaTheme="minorEastAsia" w:hAnsi="Gill Sans MT"/>
          <w:i/>
          <w:sz w:val="22"/>
          <w:szCs w:val="22"/>
        </w:rPr>
        <w:t xml:space="preserve"> </w:t>
      </w:r>
      <w:r w:rsidR="00747DAF" w:rsidRPr="006B2ADC">
        <w:rPr>
          <w:rFonts w:ascii="Gill Sans MT" w:eastAsiaTheme="minorEastAsia" w:hAnsi="Gill Sans MT"/>
          <w:iCs/>
          <w:sz w:val="22"/>
          <w:szCs w:val="22"/>
        </w:rPr>
        <w:t xml:space="preserve">are </w:t>
      </w:r>
      <w:r w:rsidR="006B2ADC" w:rsidRPr="006B2ADC">
        <w:rPr>
          <w:rFonts w:ascii="Gill Sans MT" w:eastAsiaTheme="minorEastAsia" w:hAnsi="Gill Sans MT"/>
          <w:iCs/>
          <w:sz w:val="22"/>
          <w:szCs w:val="22"/>
        </w:rPr>
        <w:t>seasonal fixed effects</w:t>
      </w:r>
      <w:r w:rsidR="00B07068">
        <w:rPr>
          <w:rFonts w:ascii="Gill Sans MT" w:eastAsiaTheme="minorEastAsia" w:hAnsi="Gill Sans MT"/>
          <w:iCs/>
          <w:sz w:val="22"/>
          <w:szCs w:val="22"/>
        </w:rPr>
        <w:t>.</w:t>
      </w:r>
    </w:p>
    <w:p w14:paraId="7588EE9F" w14:textId="39205F00" w:rsidR="00241D0A" w:rsidRPr="002F1D1B" w:rsidRDefault="000D0C58" w:rsidP="002F1D1B">
      <w:pPr>
        <w:pStyle w:val="ListParagraph"/>
        <w:numPr>
          <w:ilvl w:val="0"/>
          <w:numId w:val="7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i/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ipt</m:t>
            </m:r>
          </m:sub>
        </m:sSub>
      </m:oMath>
      <w:r w:rsidR="007F544E">
        <w:rPr>
          <w:rFonts w:ascii="Gill Sans MT" w:eastAsiaTheme="minorEastAsia" w:hAnsi="Gill Sans MT"/>
          <w:i/>
          <w:sz w:val="26"/>
          <w:szCs w:val="26"/>
        </w:rPr>
        <w:t xml:space="preserve"> </w:t>
      </w:r>
      <w:r w:rsidR="007F544E" w:rsidRPr="00621A5A">
        <w:rPr>
          <w:rFonts w:ascii="Gill Sans MT" w:eastAsiaTheme="minorEastAsia" w:hAnsi="Gill Sans MT"/>
          <w:iCs/>
          <w:sz w:val="22"/>
          <w:szCs w:val="22"/>
        </w:rPr>
        <w:t>is the error term</w:t>
      </w:r>
      <w:r w:rsidR="007F544E">
        <w:rPr>
          <w:rFonts w:ascii="Gill Sans MT" w:eastAsiaTheme="minorEastAsia" w:hAnsi="Gill Sans MT"/>
          <w:i/>
          <w:sz w:val="26"/>
          <w:szCs w:val="26"/>
        </w:rPr>
        <w:t>.</w:t>
      </w:r>
    </w:p>
    <w:p w14:paraId="01EED5E3" w14:textId="77777777" w:rsidR="002F1D1B" w:rsidRPr="002F1D1B" w:rsidRDefault="002F1D1B" w:rsidP="002F1D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sz w:val="22"/>
          <w:szCs w:val="22"/>
        </w:rPr>
      </w:pPr>
    </w:p>
    <w:p w14:paraId="7C9271E6" w14:textId="3CBC61FC" w:rsidR="00307511" w:rsidRPr="00307511" w:rsidRDefault="00FD72C3" w:rsidP="00307511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>2</w:t>
      </w:r>
    </w:p>
    <w:p w14:paraId="1B34FDDF" w14:textId="27043553" w:rsidR="0053515A" w:rsidRDefault="00B325BA" w:rsidP="00241D0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I hope </w:t>
      </w:r>
      <w:r w:rsidR="00241D0A">
        <w:rPr>
          <w:rFonts w:ascii="Gill Sans MT" w:hAnsi="Gill Sans MT"/>
          <w:sz w:val="22"/>
          <w:szCs w:val="22"/>
        </w:rPr>
        <w:t xml:space="preserve">to investigate whether </w:t>
      </w:r>
      <w:r w:rsidR="00083829">
        <w:rPr>
          <w:rFonts w:ascii="Gill Sans MT" w:hAnsi="Gill Sans MT"/>
          <w:sz w:val="22"/>
          <w:szCs w:val="22"/>
        </w:rPr>
        <w:t>certain service types</w:t>
      </w:r>
      <w:r w:rsidR="002F1D1B">
        <w:rPr>
          <w:rFonts w:ascii="Gill Sans MT" w:hAnsi="Gill Sans MT"/>
          <w:sz w:val="22"/>
          <w:szCs w:val="22"/>
        </w:rPr>
        <w:t xml:space="preserve"> were drivers of cross-country differences</w:t>
      </w:r>
      <w:r w:rsidR="007D78D1">
        <w:rPr>
          <w:rFonts w:ascii="Gill Sans MT" w:hAnsi="Gill Sans MT"/>
          <w:sz w:val="22"/>
          <w:szCs w:val="22"/>
        </w:rPr>
        <w:t>.</w:t>
      </w:r>
      <w:r w:rsidR="0093649D">
        <w:rPr>
          <w:rFonts w:ascii="Gill Sans MT" w:hAnsi="Gill Sans MT"/>
          <w:sz w:val="22"/>
          <w:szCs w:val="22"/>
        </w:rPr>
        <w:t xml:space="preserve"> </w:t>
      </w:r>
      <w:r w:rsidR="00831737">
        <w:rPr>
          <w:rFonts w:ascii="Gill Sans MT" w:hAnsi="Gill Sans MT"/>
          <w:sz w:val="22"/>
          <w:szCs w:val="22"/>
        </w:rPr>
        <w:t xml:space="preserve">I </w:t>
      </w:r>
      <w:r w:rsidR="00C44C86">
        <w:rPr>
          <w:rFonts w:ascii="Gill Sans MT" w:hAnsi="Gill Sans MT"/>
          <w:sz w:val="22"/>
          <w:szCs w:val="22"/>
        </w:rPr>
        <w:t>will consider</w:t>
      </w:r>
      <w:r w:rsidR="00831737">
        <w:rPr>
          <w:rFonts w:ascii="Gill Sans MT" w:hAnsi="Gill Sans MT"/>
          <w:sz w:val="22"/>
          <w:szCs w:val="22"/>
        </w:rPr>
        <w:t xml:space="preserve"> </w:t>
      </w:r>
      <w:r w:rsidR="005B0C9A">
        <w:rPr>
          <w:rFonts w:ascii="Gill Sans MT" w:hAnsi="Gill Sans MT"/>
          <w:sz w:val="22"/>
          <w:szCs w:val="22"/>
        </w:rPr>
        <w:t>assuming</w:t>
      </w:r>
      <w:r w:rsidR="00831737">
        <w:rPr>
          <w:rFonts w:ascii="Gill Sans MT" w:hAnsi="Gill Sans MT"/>
          <w:sz w:val="22"/>
          <w:szCs w:val="22"/>
        </w:rPr>
        <w:t xml:space="preserve"> that 2016Q1 and Q2 can be seen as pre-treatment, despite the referendum happening at the </w:t>
      </w:r>
      <w:r w:rsidR="00D27992">
        <w:rPr>
          <w:rFonts w:ascii="Gill Sans MT" w:hAnsi="Gill Sans MT"/>
          <w:sz w:val="22"/>
          <w:szCs w:val="22"/>
        </w:rPr>
        <w:t>(</w:t>
      </w:r>
      <w:r w:rsidR="00831737">
        <w:rPr>
          <w:rFonts w:ascii="Gill Sans MT" w:hAnsi="Gill Sans MT"/>
          <w:sz w:val="22"/>
          <w:szCs w:val="22"/>
        </w:rPr>
        <w:t>very</w:t>
      </w:r>
      <w:r w:rsidR="00D27992">
        <w:rPr>
          <w:rFonts w:ascii="Gill Sans MT" w:hAnsi="Gill Sans MT"/>
          <w:sz w:val="22"/>
          <w:szCs w:val="22"/>
        </w:rPr>
        <w:t>)</w:t>
      </w:r>
      <w:r w:rsidR="00831737">
        <w:rPr>
          <w:rFonts w:ascii="Gill Sans MT" w:hAnsi="Gill Sans MT"/>
          <w:sz w:val="22"/>
          <w:szCs w:val="22"/>
        </w:rPr>
        <w:t xml:space="preserve"> end of Q2</w:t>
      </w:r>
      <w:r w:rsidR="003B0A02">
        <w:rPr>
          <w:rFonts w:ascii="Gill Sans MT" w:hAnsi="Gill Sans MT"/>
          <w:sz w:val="22"/>
          <w:szCs w:val="22"/>
        </w:rPr>
        <w:t>, so I can test the parallel trends assumption</w:t>
      </w:r>
      <w:r w:rsidR="00E05078">
        <w:rPr>
          <w:rFonts w:ascii="Gill Sans MT" w:hAnsi="Gill Sans MT"/>
          <w:sz w:val="22"/>
          <w:szCs w:val="22"/>
        </w:rPr>
        <w:t xml:space="preserve"> and conduct another DiD analysis</w:t>
      </w:r>
      <w:r w:rsidR="00831737">
        <w:rPr>
          <w:rFonts w:ascii="Gill Sans MT" w:hAnsi="Gill Sans MT"/>
          <w:sz w:val="22"/>
          <w:szCs w:val="22"/>
        </w:rPr>
        <w:t>.</w:t>
      </w:r>
      <w:r w:rsidR="00CE5D6F">
        <w:rPr>
          <w:rFonts w:ascii="Gill Sans MT" w:hAnsi="Gill Sans MT"/>
          <w:sz w:val="22"/>
          <w:szCs w:val="22"/>
        </w:rPr>
        <w:t xml:space="preserve"> </w:t>
      </w:r>
    </w:p>
    <w:p w14:paraId="31169AF8" w14:textId="06306093" w:rsidR="00E10667" w:rsidRDefault="00FD4CE4" w:rsidP="00241D0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Alternatively, I could </w:t>
      </w:r>
      <w:r w:rsidR="00E05078">
        <w:rPr>
          <w:rFonts w:ascii="Gill Sans MT" w:hAnsi="Gill Sans MT"/>
          <w:sz w:val="22"/>
          <w:szCs w:val="22"/>
        </w:rPr>
        <w:t>conduct</w:t>
      </w:r>
      <w:r>
        <w:rPr>
          <w:rFonts w:ascii="Gill Sans MT" w:hAnsi="Gill Sans MT"/>
          <w:sz w:val="22"/>
          <w:szCs w:val="22"/>
        </w:rPr>
        <w:t xml:space="preserve"> </w:t>
      </w:r>
      <w:r w:rsidR="00AB45E4">
        <w:rPr>
          <w:rFonts w:ascii="Gill Sans MT" w:hAnsi="Gill Sans MT"/>
          <w:sz w:val="22"/>
          <w:szCs w:val="22"/>
        </w:rPr>
        <w:t>a DiD</w:t>
      </w:r>
      <w:r w:rsidR="00AF694B">
        <w:rPr>
          <w:rFonts w:ascii="Gill Sans MT" w:hAnsi="Gill Sans MT"/>
          <w:sz w:val="22"/>
          <w:szCs w:val="22"/>
        </w:rPr>
        <w:t xml:space="preserve"> with only the TCA as a treatment</w:t>
      </w:r>
      <w:r w:rsidR="001C3680">
        <w:rPr>
          <w:rFonts w:ascii="Gill Sans MT" w:hAnsi="Gill Sans MT"/>
          <w:sz w:val="22"/>
          <w:szCs w:val="22"/>
        </w:rPr>
        <w:t xml:space="preserve">. This would assume that the referendum didn’t affect the trends of </w:t>
      </w:r>
      <w:r w:rsidR="00D12899">
        <w:rPr>
          <w:rFonts w:ascii="Gill Sans MT" w:hAnsi="Gill Sans MT"/>
          <w:sz w:val="22"/>
          <w:szCs w:val="22"/>
        </w:rPr>
        <w:t>the treatment and control groups, which my primary DiD may confir</w:t>
      </w:r>
      <w:r w:rsidR="000A6077">
        <w:rPr>
          <w:rFonts w:ascii="Gill Sans MT" w:hAnsi="Gill Sans MT"/>
          <w:sz w:val="22"/>
          <w:szCs w:val="22"/>
        </w:rPr>
        <w:t>m</w:t>
      </w:r>
      <w:r w:rsidR="00D12899">
        <w:rPr>
          <w:rFonts w:ascii="Gill Sans MT" w:hAnsi="Gill Sans MT"/>
          <w:sz w:val="22"/>
          <w:szCs w:val="22"/>
        </w:rPr>
        <w:t>.</w:t>
      </w:r>
      <w:r w:rsidR="00F37FF9">
        <w:rPr>
          <w:rFonts w:ascii="Gill Sans MT" w:hAnsi="Gill Sans MT"/>
          <w:sz w:val="22"/>
          <w:szCs w:val="22"/>
        </w:rPr>
        <w:t xml:space="preserve"> </w:t>
      </w:r>
      <w:r w:rsidR="0076055A">
        <w:rPr>
          <w:rFonts w:ascii="Gill Sans MT" w:hAnsi="Gill Sans MT"/>
          <w:sz w:val="22"/>
          <w:szCs w:val="22"/>
        </w:rPr>
        <w:t>However, m</w:t>
      </w:r>
      <w:r w:rsidR="00F37FF9">
        <w:rPr>
          <w:rFonts w:ascii="Gill Sans MT" w:hAnsi="Gill Sans MT"/>
          <w:sz w:val="22"/>
          <w:szCs w:val="22"/>
        </w:rPr>
        <w:t xml:space="preserve">y primary </w:t>
      </w:r>
      <w:r w:rsidR="0076055A">
        <w:rPr>
          <w:rFonts w:ascii="Gill Sans MT" w:hAnsi="Gill Sans MT"/>
          <w:sz w:val="22"/>
          <w:szCs w:val="22"/>
        </w:rPr>
        <w:t>DiD</w:t>
      </w:r>
      <w:r w:rsidR="00F37FF9">
        <w:rPr>
          <w:rFonts w:ascii="Gill Sans MT" w:hAnsi="Gill Sans MT"/>
          <w:sz w:val="22"/>
          <w:szCs w:val="22"/>
        </w:rPr>
        <w:t xml:space="preserve"> could confirm this on</w:t>
      </w:r>
      <w:r w:rsidR="00A6568D">
        <w:rPr>
          <w:rFonts w:ascii="Gill Sans MT" w:hAnsi="Gill Sans MT"/>
          <w:sz w:val="22"/>
          <w:szCs w:val="22"/>
        </w:rPr>
        <w:t>ly at</w:t>
      </w:r>
      <w:r w:rsidR="00F37FF9">
        <w:rPr>
          <w:rFonts w:ascii="Gill Sans MT" w:hAnsi="Gill Sans MT"/>
          <w:sz w:val="22"/>
          <w:szCs w:val="22"/>
        </w:rPr>
        <w:t xml:space="preserve"> an aggregate, but not</w:t>
      </w:r>
      <w:r w:rsidR="00245767">
        <w:rPr>
          <w:rFonts w:ascii="Gill Sans MT" w:hAnsi="Gill Sans MT"/>
          <w:sz w:val="22"/>
          <w:szCs w:val="22"/>
        </w:rPr>
        <w:t xml:space="preserve"> </w:t>
      </w:r>
      <w:r w:rsidR="00A6568D">
        <w:rPr>
          <w:rFonts w:ascii="Gill Sans MT" w:hAnsi="Gill Sans MT"/>
          <w:sz w:val="22"/>
          <w:szCs w:val="22"/>
        </w:rPr>
        <w:t>at</w:t>
      </w:r>
      <w:r w:rsidR="00245767">
        <w:rPr>
          <w:rFonts w:ascii="Gill Sans MT" w:hAnsi="Gill Sans MT"/>
          <w:sz w:val="22"/>
          <w:szCs w:val="22"/>
        </w:rPr>
        <w:t xml:space="preserve"> a</w:t>
      </w:r>
      <w:r w:rsidR="00F37FF9">
        <w:rPr>
          <w:rFonts w:ascii="Gill Sans MT" w:hAnsi="Gill Sans MT"/>
          <w:sz w:val="22"/>
          <w:szCs w:val="22"/>
        </w:rPr>
        <w:t xml:space="preserve"> sector-specific level. </w:t>
      </w:r>
    </w:p>
    <w:p w14:paraId="044B7032" w14:textId="2673FA12" w:rsidR="004968A3" w:rsidRDefault="00125946" w:rsidP="004968A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ind w:firstLine="72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If </w:t>
      </w:r>
      <w:r w:rsidR="001A1C6A">
        <w:rPr>
          <w:rFonts w:ascii="Gill Sans MT" w:hAnsi="Gill Sans MT"/>
          <w:sz w:val="22"/>
          <w:szCs w:val="22"/>
        </w:rPr>
        <w:t xml:space="preserve">it seems inappropriate to make </w:t>
      </w:r>
      <w:r>
        <w:rPr>
          <w:rFonts w:ascii="Gill Sans MT" w:hAnsi="Gill Sans MT"/>
          <w:sz w:val="22"/>
          <w:szCs w:val="22"/>
        </w:rPr>
        <w:t xml:space="preserve">strong assumptions to run a DiD on the secondary dataset, </w:t>
      </w:r>
      <w:r w:rsidR="00245767">
        <w:rPr>
          <w:rFonts w:ascii="Gill Sans MT" w:hAnsi="Gill Sans MT"/>
          <w:sz w:val="22"/>
          <w:szCs w:val="22"/>
        </w:rPr>
        <w:t>it can aid my</w:t>
      </w:r>
      <w:r w:rsidR="00496DC4">
        <w:rPr>
          <w:rFonts w:ascii="Gill Sans MT" w:hAnsi="Gill Sans MT"/>
          <w:sz w:val="22"/>
          <w:szCs w:val="22"/>
        </w:rPr>
        <w:t xml:space="preserve"> qualitative explanatory analysis</w:t>
      </w:r>
      <w:r w:rsidR="002C2823">
        <w:rPr>
          <w:rFonts w:ascii="Gill Sans MT" w:hAnsi="Gill Sans MT"/>
          <w:sz w:val="22"/>
          <w:szCs w:val="22"/>
        </w:rPr>
        <w:t xml:space="preserve"> by unpacking the service types </w:t>
      </w:r>
      <w:r w:rsidR="00307511">
        <w:rPr>
          <w:rFonts w:ascii="Gill Sans MT" w:hAnsi="Gill Sans MT"/>
          <w:sz w:val="22"/>
          <w:szCs w:val="22"/>
        </w:rPr>
        <w:t>traded</w:t>
      </w:r>
      <w:r w:rsidR="002C2823">
        <w:rPr>
          <w:rFonts w:ascii="Gill Sans MT" w:hAnsi="Gill Sans MT"/>
          <w:sz w:val="22"/>
          <w:szCs w:val="22"/>
        </w:rPr>
        <w:t xml:space="preserve"> </w:t>
      </w:r>
      <w:r w:rsidR="00B40FD2">
        <w:rPr>
          <w:rFonts w:ascii="Gill Sans MT" w:hAnsi="Gill Sans MT"/>
          <w:sz w:val="22"/>
          <w:szCs w:val="22"/>
        </w:rPr>
        <w:t xml:space="preserve">by </w:t>
      </w:r>
      <w:r w:rsidR="00CF2A90">
        <w:rPr>
          <w:rFonts w:ascii="Gill Sans MT" w:hAnsi="Gill Sans MT"/>
          <w:sz w:val="22"/>
          <w:szCs w:val="22"/>
        </w:rPr>
        <w:t xml:space="preserve">difference </w:t>
      </w:r>
      <w:r w:rsidR="00B40FD2">
        <w:rPr>
          <w:rFonts w:ascii="Gill Sans MT" w:hAnsi="Gill Sans MT"/>
          <w:sz w:val="22"/>
          <w:szCs w:val="22"/>
        </w:rPr>
        <w:t>UK trading partners</w:t>
      </w:r>
      <w:r w:rsidR="00496DC4">
        <w:rPr>
          <w:rFonts w:ascii="Gill Sans MT" w:hAnsi="Gill Sans MT"/>
          <w:sz w:val="22"/>
          <w:szCs w:val="22"/>
        </w:rPr>
        <w:t>.</w:t>
      </w:r>
    </w:p>
    <w:p w14:paraId="73EA2EF3" w14:textId="588F1F00" w:rsidR="004968A3" w:rsidRDefault="00FD72C3" w:rsidP="004968A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b/>
          <w:bCs/>
          <w:sz w:val="22"/>
          <w:szCs w:val="22"/>
        </w:rPr>
        <w:t>3</w:t>
      </w:r>
    </w:p>
    <w:p w14:paraId="41A581D3" w14:textId="3361E26F" w:rsidR="004968A3" w:rsidRPr="002020E2" w:rsidRDefault="004968A3" w:rsidP="004968A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ab/>
        <w:t>I will run the</w:t>
      </w:r>
      <w:r w:rsidR="00803D85">
        <w:rPr>
          <w:rFonts w:ascii="Gill Sans MT" w:hAnsi="Gill Sans MT"/>
          <w:sz w:val="22"/>
          <w:szCs w:val="22"/>
        </w:rPr>
        <w:t xml:space="preserve"> </w:t>
      </w:r>
      <w:r w:rsidR="00FD72C3">
        <w:rPr>
          <w:rFonts w:ascii="Gill Sans MT" w:hAnsi="Gill Sans MT"/>
          <w:sz w:val="22"/>
          <w:szCs w:val="22"/>
        </w:rPr>
        <w:t xml:space="preserve">same </w:t>
      </w:r>
      <w:r w:rsidR="00803D85">
        <w:rPr>
          <w:rFonts w:ascii="Gill Sans MT" w:hAnsi="Gill Sans MT"/>
          <w:sz w:val="22"/>
          <w:szCs w:val="22"/>
        </w:rPr>
        <w:t>DiD</w:t>
      </w:r>
      <w:r w:rsidR="00CF2A90">
        <w:rPr>
          <w:rFonts w:ascii="Gill Sans MT" w:hAnsi="Gill Sans MT"/>
          <w:sz w:val="22"/>
          <w:szCs w:val="22"/>
        </w:rPr>
        <w:t xml:space="preserve"> as explained </w:t>
      </w:r>
      <w:r w:rsidR="002020E2">
        <w:rPr>
          <w:rFonts w:ascii="Gill Sans MT" w:hAnsi="Gill Sans MT"/>
          <w:sz w:val="22"/>
          <w:szCs w:val="22"/>
        </w:rPr>
        <w:t xml:space="preserve">in </w:t>
      </w:r>
      <w:r w:rsidR="002020E2">
        <w:rPr>
          <w:rFonts w:ascii="Gill Sans MT" w:hAnsi="Gill Sans MT"/>
          <w:b/>
          <w:bCs/>
          <w:sz w:val="22"/>
          <w:szCs w:val="22"/>
        </w:rPr>
        <w:t>1</w:t>
      </w:r>
      <w:r w:rsidR="00803D85">
        <w:rPr>
          <w:rFonts w:ascii="Gill Sans MT" w:hAnsi="Gill Sans MT"/>
          <w:sz w:val="22"/>
          <w:szCs w:val="22"/>
        </w:rPr>
        <w:t xml:space="preserve"> </w:t>
      </w:r>
      <w:r>
        <w:rPr>
          <w:rFonts w:ascii="Gill Sans MT" w:hAnsi="Gill Sans MT"/>
          <w:sz w:val="22"/>
          <w:szCs w:val="22"/>
        </w:rPr>
        <w:t xml:space="preserve">with Eurostat data to test the </w:t>
      </w:r>
      <w:r w:rsidR="00FD72C3">
        <w:rPr>
          <w:rFonts w:ascii="Gill Sans MT" w:hAnsi="Gill Sans MT"/>
          <w:sz w:val="22"/>
          <w:szCs w:val="22"/>
        </w:rPr>
        <w:t xml:space="preserve">result </w:t>
      </w:r>
      <w:r>
        <w:rPr>
          <w:rFonts w:ascii="Gill Sans MT" w:hAnsi="Gill Sans MT"/>
          <w:sz w:val="22"/>
          <w:szCs w:val="22"/>
        </w:rPr>
        <w:t>found in Kren and Lawless (2024.)</w:t>
      </w:r>
    </w:p>
    <w:p w14:paraId="441EC359" w14:textId="12426E71" w:rsidR="00A90054" w:rsidRPr="00002AA4" w:rsidRDefault="00A31B1E" w:rsidP="00A31B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right"/>
        <w:rPr>
          <w:rFonts w:ascii="Gill Sans MT" w:hAnsi="Gill Sans MT"/>
          <w:sz w:val="22"/>
          <w:szCs w:val="22"/>
        </w:rPr>
      </w:pPr>
      <w:r w:rsidRPr="00002AA4">
        <w:rPr>
          <w:rFonts w:ascii="Gill Sans MT" w:hAnsi="Gill Sans MT"/>
          <w:sz w:val="22"/>
          <w:szCs w:val="22"/>
        </w:rPr>
        <w:t xml:space="preserve">My word count for this section: </w:t>
      </w:r>
      <w:r w:rsidR="005D5769">
        <w:rPr>
          <w:rFonts w:ascii="Gill Sans MT" w:hAnsi="Gill Sans MT"/>
          <w:sz w:val="22"/>
          <w:szCs w:val="22"/>
        </w:rPr>
        <w:t>3</w:t>
      </w:r>
      <w:r w:rsidR="00CF2A90">
        <w:rPr>
          <w:rFonts w:ascii="Gill Sans MT" w:hAnsi="Gill Sans MT"/>
          <w:sz w:val="22"/>
          <w:szCs w:val="22"/>
        </w:rPr>
        <w:t>77</w:t>
      </w:r>
    </w:p>
    <w:p w14:paraId="6B38F543" w14:textId="77777777" w:rsidR="00A90054" w:rsidRPr="00002AA4" w:rsidRDefault="00A90054" w:rsidP="00A90054">
      <w:pPr>
        <w:rPr>
          <w:rFonts w:ascii="Gill Sans MT" w:hAnsi="Gill Sans MT"/>
          <w:sz w:val="22"/>
          <w:szCs w:val="22"/>
        </w:rPr>
      </w:pPr>
    </w:p>
    <w:p w14:paraId="3E8E9A5F" w14:textId="6A06C949" w:rsidR="00A90054" w:rsidRPr="006464FC" w:rsidRDefault="00A90054" w:rsidP="00DA64B3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 xml:space="preserve">Structure of </w:t>
      </w:r>
      <w:r w:rsidR="000F6E2C">
        <w:rPr>
          <w:rFonts w:ascii="Gill Sans MT" w:hAnsi="Gill Sans MT"/>
          <w:b/>
          <w:bCs/>
          <w:color w:val="FFFFFF" w:themeColor="background1"/>
          <w:sz w:val="22"/>
          <w:szCs w:val="22"/>
        </w:rPr>
        <w:t xml:space="preserve">the </w:t>
      </w: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Dissertation</w:t>
      </w:r>
      <w:r w:rsidR="006464FC">
        <w:rPr>
          <w:rFonts w:ascii="Gill Sans MT" w:hAnsi="Gill Sans MT"/>
          <w:b/>
          <w:bCs/>
          <w:color w:val="FFFFFF" w:themeColor="background1"/>
          <w:sz w:val="22"/>
          <w:szCs w:val="22"/>
        </w:rPr>
        <w:t xml:space="preserve"> </w:t>
      </w:r>
      <w:r w:rsidR="006464FC"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 xml:space="preserve">(This section is only relevant for </w:t>
      </w:r>
      <w:r w:rsidR="006464FC">
        <w:rPr>
          <w:rFonts w:ascii="Gill Sans MT" w:hAnsi="Gill Sans MT"/>
          <w:b/>
          <w:bCs/>
          <w:color w:val="FFFFFF" w:themeColor="background1"/>
          <w:sz w:val="22"/>
          <w:szCs w:val="22"/>
        </w:rPr>
        <w:t>literature surveys</w:t>
      </w:r>
      <w:r w:rsidR="006464FC"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)</w:t>
      </w:r>
    </w:p>
    <w:p w14:paraId="191621BA" w14:textId="77777777" w:rsidR="00E04123" w:rsidRPr="00E04123" w:rsidRDefault="00E04123" w:rsidP="00E04123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21AEF92A" w14:textId="77777777" w:rsidR="00A90054" w:rsidRPr="00002AA4" w:rsidRDefault="00A90054" w:rsidP="00A90054">
      <w:pPr>
        <w:rPr>
          <w:rFonts w:ascii="Gill Sans MT" w:hAnsi="Gill Sans MT"/>
          <w:sz w:val="22"/>
          <w:szCs w:val="22"/>
        </w:rPr>
      </w:pPr>
    </w:p>
    <w:p w14:paraId="133FCA9B" w14:textId="4A94E72C" w:rsidR="00417808" w:rsidRPr="00002AA4" w:rsidRDefault="00417808" w:rsidP="00417808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Literature Cited in this Proposal</w:t>
      </w:r>
    </w:p>
    <w:p w14:paraId="114C5D93" w14:textId="77777777" w:rsidR="00417808" w:rsidRPr="00002AA4" w:rsidRDefault="0041780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10"/>
          <w:szCs w:val="10"/>
        </w:rPr>
      </w:pPr>
    </w:p>
    <w:p w14:paraId="60B25B52" w14:textId="2CF05951" w:rsidR="00552E09" w:rsidRDefault="00552E09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Website. </w:t>
      </w:r>
      <w:r w:rsidRPr="001E2A5E">
        <w:rPr>
          <w:rFonts w:ascii="Gill Sans MT" w:hAnsi="Gill Sans MT"/>
          <w:sz w:val="22"/>
          <w:szCs w:val="22"/>
        </w:rPr>
        <w:t xml:space="preserve">Panjwani, House of Commons Library, </w:t>
      </w:r>
      <w:r>
        <w:rPr>
          <w:rFonts w:ascii="Gill Sans MT" w:hAnsi="Gill Sans MT"/>
          <w:sz w:val="22"/>
          <w:szCs w:val="22"/>
        </w:rPr>
        <w:t xml:space="preserve">Service industries: key economic indicators, </w:t>
      </w:r>
      <w:r w:rsidRPr="001E2A5E">
        <w:rPr>
          <w:rFonts w:ascii="Gill Sans MT" w:hAnsi="Gill Sans MT"/>
          <w:sz w:val="22"/>
          <w:szCs w:val="22"/>
        </w:rPr>
        <w:t>2023</w:t>
      </w:r>
      <w:r>
        <w:rPr>
          <w:rFonts w:ascii="Gill Sans MT" w:hAnsi="Gill Sans MT"/>
          <w:sz w:val="22"/>
          <w:szCs w:val="22"/>
        </w:rPr>
        <w:t xml:space="preserve"> </w:t>
      </w:r>
    </w:p>
    <w:p w14:paraId="47FBE535" w14:textId="77777777" w:rsidR="00552E09" w:rsidRDefault="00552E09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534030E0" w14:textId="297734F8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T Fetzer. (2019) “Did austerity cause Brexit?” </w:t>
      </w:r>
      <w:r>
        <w:rPr>
          <w:rFonts w:ascii="Gill Sans MT" w:hAnsi="Gill Sans MT"/>
          <w:i/>
          <w:iCs/>
          <w:sz w:val="22"/>
          <w:szCs w:val="22"/>
        </w:rPr>
        <w:t xml:space="preserve">American Economic Review </w:t>
      </w:r>
      <w:r>
        <w:rPr>
          <w:rFonts w:ascii="Gill Sans MT" w:hAnsi="Gill Sans MT"/>
          <w:sz w:val="22"/>
          <w:szCs w:val="22"/>
        </w:rPr>
        <w:t xml:space="preserve">Volume 109(11): </w:t>
      </w:r>
      <w:r w:rsidRPr="00990077">
        <w:rPr>
          <w:rFonts w:ascii="Gill Sans MT" w:hAnsi="Gill Sans MT"/>
          <w:sz w:val="22"/>
          <w:szCs w:val="22"/>
        </w:rPr>
        <w:t>2018</w:t>
      </w:r>
      <w:r>
        <w:rPr>
          <w:rFonts w:ascii="Gill Sans MT" w:hAnsi="Gill Sans MT"/>
          <w:sz w:val="22"/>
          <w:szCs w:val="22"/>
        </w:rPr>
        <w:t>-</w:t>
      </w:r>
      <w:r w:rsidRPr="00990077">
        <w:rPr>
          <w:rFonts w:ascii="Gill Sans MT" w:hAnsi="Gill Sans MT"/>
          <w:sz w:val="22"/>
          <w:szCs w:val="22"/>
        </w:rPr>
        <w:t>1164</w:t>
      </w:r>
      <w:r>
        <w:rPr>
          <w:rFonts w:ascii="Gill Sans MT" w:hAnsi="Gill Sans MT"/>
          <w:sz w:val="22"/>
          <w:szCs w:val="22"/>
        </w:rPr>
        <w:t xml:space="preserve"> [70</w:t>
      </w:r>
      <w:r w:rsidR="00A029AA">
        <w:rPr>
          <w:rFonts w:ascii="Gill Sans MT" w:hAnsi="Gill Sans MT"/>
          <w:sz w:val="22"/>
          <w:szCs w:val="22"/>
        </w:rPr>
        <w:t>5</w:t>
      </w:r>
      <w:r>
        <w:rPr>
          <w:rFonts w:ascii="Gill Sans MT" w:hAnsi="Gill Sans MT"/>
          <w:sz w:val="22"/>
          <w:szCs w:val="22"/>
        </w:rPr>
        <w:t xml:space="preserve"> citations]</w:t>
      </w:r>
    </w:p>
    <w:p w14:paraId="609FF0A4" w14:textId="77777777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72DFB9AA" w14:textId="43DDD81A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E McGrattan, A Waddle. (2020) “The impact of Brexit on Foreign Investment and Production” </w:t>
      </w:r>
      <w:r>
        <w:rPr>
          <w:rFonts w:ascii="Gill Sans MT" w:hAnsi="Gill Sans MT"/>
          <w:i/>
          <w:iCs/>
          <w:sz w:val="22"/>
          <w:szCs w:val="22"/>
        </w:rPr>
        <w:t xml:space="preserve">AEJ: Macroeconomics </w:t>
      </w:r>
      <w:r>
        <w:rPr>
          <w:rFonts w:ascii="Gill Sans MT" w:hAnsi="Gill Sans MT"/>
          <w:sz w:val="22"/>
          <w:szCs w:val="22"/>
        </w:rPr>
        <w:t>Volume 12(1): 2017-0399 [10</w:t>
      </w:r>
      <w:r w:rsidR="00A029AA">
        <w:rPr>
          <w:rFonts w:ascii="Gill Sans MT" w:hAnsi="Gill Sans MT"/>
          <w:sz w:val="22"/>
          <w:szCs w:val="22"/>
        </w:rPr>
        <w:t>9</w:t>
      </w:r>
      <w:r>
        <w:rPr>
          <w:rFonts w:ascii="Gill Sans MT" w:hAnsi="Gill Sans MT"/>
          <w:sz w:val="22"/>
          <w:szCs w:val="22"/>
        </w:rPr>
        <w:t xml:space="preserve"> citations]</w:t>
      </w:r>
    </w:p>
    <w:p w14:paraId="0BE292CA" w14:textId="77777777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0E2615BE" w14:textId="4F8E9258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B Born, G </w:t>
      </w:r>
      <w:r w:rsidRPr="00B80D42">
        <w:rPr>
          <w:rFonts w:ascii="Gill Sans MT" w:hAnsi="Gill Sans MT"/>
          <w:sz w:val="22"/>
          <w:szCs w:val="22"/>
        </w:rPr>
        <w:t>Müller</w:t>
      </w:r>
      <w:r>
        <w:rPr>
          <w:rFonts w:ascii="Gill Sans MT" w:hAnsi="Gill Sans MT"/>
          <w:sz w:val="22"/>
          <w:szCs w:val="22"/>
        </w:rPr>
        <w:t xml:space="preserve">, </w:t>
      </w:r>
      <w:r w:rsidRPr="00D674EF">
        <w:rPr>
          <w:rFonts w:ascii="Gill Sans MT" w:hAnsi="Gill Sans MT"/>
          <w:sz w:val="22"/>
          <w:szCs w:val="22"/>
        </w:rPr>
        <w:t xml:space="preserve">Moritz </w:t>
      </w:r>
      <w:proofErr w:type="spellStart"/>
      <w:r w:rsidRPr="00D674EF">
        <w:rPr>
          <w:rFonts w:ascii="Gill Sans MT" w:hAnsi="Gill Sans MT"/>
          <w:sz w:val="22"/>
          <w:szCs w:val="22"/>
        </w:rPr>
        <w:t>Schularick</w:t>
      </w:r>
      <w:proofErr w:type="spellEnd"/>
      <w:r w:rsidRPr="00D674EF">
        <w:rPr>
          <w:rFonts w:ascii="Gill Sans MT" w:hAnsi="Gill Sans MT"/>
          <w:sz w:val="22"/>
          <w:szCs w:val="22"/>
        </w:rPr>
        <w:t>, Petr Sedláček</w:t>
      </w:r>
      <w:r>
        <w:rPr>
          <w:rFonts w:ascii="Gill Sans MT" w:hAnsi="Gill Sans MT"/>
          <w:sz w:val="22"/>
          <w:szCs w:val="22"/>
        </w:rPr>
        <w:t xml:space="preserve">. (2019) “The Costs of Economic Nationalism: Evidence from the Brexit Experiment” </w:t>
      </w:r>
      <w:r>
        <w:rPr>
          <w:rFonts w:ascii="Gill Sans MT" w:hAnsi="Gill Sans MT"/>
          <w:i/>
          <w:iCs/>
          <w:sz w:val="22"/>
          <w:szCs w:val="22"/>
        </w:rPr>
        <w:t xml:space="preserve">The Economic Journal </w:t>
      </w:r>
      <w:r>
        <w:rPr>
          <w:rFonts w:ascii="Gill Sans MT" w:hAnsi="Gill Sans MT"/>
          <w:sz w:val="22"/>
          <w:szCs w:val="22"/>
        </w:rPr>
        <w:t xml:space="preserve">Volume 129(623): </w:t>
      </w:r>
      <w:r w:rsidRPr="00F34E98">
        <w:rPr>
          <w:rFonts w:ascii="Gill Sans MT" w:hAnsi="Gill Sans MT"/>
          <w:sz w:val="22"/>
          <w:szCs w:val="22"/>
        </w:rPr>
        <w:t>0013-0133</w:t>
      </w:r>
      <w:r>
        <w:rPr>
          <w:rFonts w:ascii="Gill Sans MT" w:hAnsi="Gill Sans MT"/>
          <w:sz w:val="22"/>
          <w:szCs w:val="22"/>
        </w:rPr>
        <w:t xml:space="preserve"> [28</w:t>
      </w:r>
      <w:r w:rsidR="008D0A89">
        <w:rPr>
          <w:rFonts w:ascii="Gill Sans MT" w:hAnsi="Gill Sans MT"/>
          <w:sz w:val="22"/>
          <w:szCs w:val="22"/>
        </w:rPr>
        <w:t>7</w:t>
      </w:r>
      <w:r>
        <w:rPr>
          <w:rFonts w:ascii="Gill Sans MT" w:hAnsi="Gill Sans MT"/>
          <w:sz w:val="22"/>
          <w:szCs w:val="22"/>
        </w:rPr>
        <w:t xml:space="preserve"> citations]</w:t>
      </w:r>
    </w:p>
    <w:p w14:paraId="661CE300" w14:textId="77777777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7D3D740D" w14:textId="7B385542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J Steinberg. (2019) “Brexit and the macroeconomic impact of trade policy uncertainty” </w:t>
      </w:r>
      <w:r>
        <w:rPr>
          <w:rFonts w:ascii="Gill Sans MT" w:hAnsi="Gill Sans MT"/>
          <w:i/>
          <w:iCs/>
          <w:sz w:val="22"/>
          <w:szCs w:val="22"/>
        </w:rPr>
        <w:t xml:space="preserve">Journal of International Economics </w:t>
      </w:r>
      <w:r>
        <w:rPr>
          <w:rFonts w:ascii="Gill Sans MT" w:hAnsi="Gill Sans MT"/>
          <w:sz w:val="22"/>
          <w:szCs w:val="22"/>
        </w:rPr>
        <w:t xml:space="preserve">Volume 117: </w:t>
      </w:r>
      <w:r w:rsidRPr="00A0559E">
        <w:rPr>
          <w:rFonts w:ascii="Gill Sans MT" w:hAnsi="Gill Sans MT"/>
          <w:sz w:val="22"/>
          <w:szCs w:val="22"/>
        </w:rPr>
        <w:t>0022-1996</w:t>
      </w:r>
      <w:r>
        <w:rPr>
          <w:rFonts w:ascii="Gill Sans MT" w:hAnsi="Gill Sans MT"/>
          <w:sz w:val="22"/>
          <w:szCs w:val="22"/>
        </w:rPr>
        <w:t xml:space="preserve"> [22</w:t>
      </w:r>
      <w:r w:rsidR="008D0A89">
        <w:rPr>
          <w:rFonts w:ascii="Gill Sans MT" w:hAnsi="Gill Sans MT"/>
          <w:sz w:val="22"/>
          <w:szCs w:val="22"/>
        </w:rPr>
        <w:t>3</w:t>
      </w:r>
      <w:r>
        <w:rPr>
          <w:rFonts w:ascii="Gill Sans MT" w:hAnsi="Gill Sans MT"/>
          <w:sz w:val="22"/>
          <w:szCs w:val="22"/>
        </w:rPr>
        <w:t xml:space="preserve"> citations]</w:t>
      </w:r>
    </w:p>
    <w:p w14:paraId="399A1CFF" w14:textId="77777777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6857294B" w14:textId="26D0341F" w:rsidR="00EB0659" w:rsidRPr="008F2BE8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CC596F">
        <w:rPr>
          <w:rFonts w:ascii="Gill Sans MT" w:hAnsi="Gill Sans MT"/>
          <w:sz w:val="22"/>
          <w:szCs w:val="22"/>
        </w:rPr>
        <w:t xml:space="preserve">B Broadbent, F Di Pace, T Drechsel, R Harrison, S </w:t>
      </w:r>
      <w:proofErr w:type="spellStart"/>
      <w:r w:rsidRPr="00CC596F">
        <w:rPr>
          <w:rFonts w:ascii="Gill Sans MT" w:hAnsi="Gill Sans MT"/>
          <w:sz w:val="22"/>
          <w:szCs w:val="22"/>
        </w:rPr>
        <w:t>Tenreyro</w:t>
      </w:r>
      <w:proofErr w:type="spellEnd"/>
      <w:r>
        <w:rPr>
          <w:rFonts w:ascii="Gill Sans MT" w:hAnsi="Gill Sans MT"/>
          <w:sz w:val="22"/>
          <w:szCs w:val="22"/>
        </w:rPr>
        <w:t xml:space="preserve">. (2024) “The Brexit Vote, Productivity Growth, and Macroeconomic Adjustments in the U.K.” </w:t>
      </w:r>
      <w:r>
        <w:rPr>
          <w:rFonts w:ascii="Gill Sans MT" w:hAnsi="Gill Sans MT"/>
          <w:i/>
          <w:iCs/>
          <w:sz w:val="22"/>
          <w:szCs w:val="22"/>
        </w:rPr>
        <w:t xml:space="preserve">The Review of Economic Studies </w:t>
      </w:r>
      <w:r>
        <w:rPr>
          <w:rFonts w:ascii="Gill Sans MT" w:hAnsi="Gill Sans MT"/>
          <w:sz w:val="22"/>
          <w:szCs w:val="22"/>
        </w:rPr>
        <w:t xml:space="preserve">Volume 91(4): </w:t>
      </w:r>
      <w:r w:rsidRPr="00C7423F">
        <w:rPr>
          <w:rFonts w:ascii="Gill Sans MT" w:hAnsi="Gill Sans MT"/>
          <w:sz w:val="22"/>
          <w:szCs w:val="22"/>
        </w:rPr>
        <w:t>0034-6527</w:t>
      </w:r>
      <w:r>
        <w:rPr>
          <w:rFonts w:ascii="Gill Sans MT" w:hAnsi="Gill Sans MT"/>
          <w:sz w:val="22"/>
          <w:szCs w:val="22"/>
        </w:rPr>
        <w:t xml:space="preserve"> [34 citations]</w:t>
      </w:r>
    </w:p>
    <w:p w14:paraId="72D80719" w14:textId="77777777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649536A7" w14:textId="31DF9C75" w:rsidR="00EB0659" w:rsidRDefault="00EB0659" w:rsidP="00EB065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4830CA">
        <w:rPr>
          <w:rFonts w:ascii="Gill Sans MT" w:hAnsi="Gill Sans MT"/>
          <w:sz w:val="22"/>
          <w:szCs w:val="22"/>
        </w:rPr>
        <w:t>J Kren, M Lawless</w:t>
      </w:r>
      <w:r>
        <w:rPr>
          <w:rFonts w:ascii="Gill Sans MT" w:hAnsi="Gill Sans MT"/>
          <w:sz w:val="22"/>
          <w:szCs w:val="22"/>
        </w:rPr>
        <w:t xml:space="preserve">. (2024) “How has Brexit changed EU-UK trade flows?” </w:t>
      </w:r>
      <w:r>
        <w:rPr>
          <w:rFonts w:ascii="Gill Sans MT" w:hAnsi="Gill Sans MT"/>
          <w:i/>
          <w:iCs/>
          <w:sz w:val="22"/>
          <w:szCs w:val="22"/>
        </w:rPr>
        <w:t xml:space="preserve">European Economic Review </w:t>
      </w:r>
      <w:r>
        <w:rPr>
          <w:rFonts w:ascii="Gill Sans MT" w:hAnsi="Gill Sans MT"/>
          <w:sz w:val="22"/>
          <w:szCs w:val="22"/>
        </w:rPr>
        <w:t>Volume 161: 104634 / 0014-2921 [</w:t>
      </w:r>
      <w:r w:rsidR="00E269F1">
        <w:rPr>
          <w:rFonts w:ascii="Gill Sans MT" w:hAnsi="Gill Sans MT"/>
          <w:sz w:val="22"/>
          <w:szCs w:val="22"/>
        </w:rPr>
        <w:t>20</w:t>
      </w:r>
      <w:r>
        <w:rPr>
          <w:rFonts w:ascii="Gill Sans MT" w:hAnsi="Gill Sans MT"/>
          <w:sz w:val="22"/>
          <w:szCs w:val="22"/>
        </w:rPr>
        <w:t xml:space="preserve"> citations] </w:t>
      </w:r>
    </w:p>
    <w:p w14:paraId="46E4D159" w14:textId="77777777" w:rsidR="00EB0659" w:rsidRPr="00002AA4" w:rsidRDefault="00EB0659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5B7E7040" w14:textId="401E0651" w:rsidR="00E71593" w:rsidRDefault="00E71593" w:rsidP="00E7159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b/>
          <w:bCs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T Sampson. (2017) “Brexit: The Economics of International Disintegration.” </w:t>
      </w:r>
      <w:r>
        <w:rPr>
          <w:rFonts w:ascii="Gill Sans MT" w:hAnsi="Gill Sans MT"/>
          <w:i/>
          <w:iCs/>
          <w:sz w:val="22"/>
          <w:szCs w:val="22"/>
        </w:rPr>
        <w:t xml:space="preserve">Journal of Economic Perspectives </w:t>
      </w:r>
      <w:r>
        <w:rPr>
          <w:rFonts w:ascii="Gill Sans MT" w:hAnsi="Gill Sans MT"/>
          <w:sz w:val="22"/>
          <w:szCs w:val="22"/>
        </w:rPr>
        <w:t>31(4): 0895-3309 (print) / 1944-7965 (online) [46</w:t>
      </w:r>
      <w:r w:rsidR="002E3DE0">
        <w:rPr>
          <w:rFonts w:ascii="Gill Sans MT" w:hAnsi="Gill Sans MT"/>
          <w:sz w:val="22"/>
          <w:szCs w:val="22"/>
        </w:rPr>
        <w:t>5</w:t>
      </w:r>
      <w:r>
        <w:rPr>
          <w:rFonts w:ascii="Gill Sans MT" w:hAnsi="Gill Sans MT"/>
          <w:sz w:val="22"/>
          <w:szCs w:val="22"/>
        </w:rPr>
        <w:t xml:space="preserve"> citations] </w:t>
      </w:r>
    </w:p>
    <w:p w14:paraId="1CA5292F" w14:textId="77777777" w:rsidR="00E71593" w:rsidRDefault="00E71593" w:rsidP="00E7159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b/>
          <w:bCs/>
          <w:sz w:val="22"/>
          <w:szCs w:val="22"/>
        </w:rPr>
      </w:pPr>
    </w:p>
    <w:p w14:paraId="0729B310" w14:textId="2377AFDD" w:rsidR="00E71593" w:rsidRDefault="00E71593" w:rsidP="00E7159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 w:rsidRPr="0033267D">
        <w:rPr>
          <w:rFonts w:ascii="Gill Sans MT" w:hAnsi="Gill Sans MT"/>
          <w:sz w:val="22"/>
          <w:szCs w:val="22"/>
        </w:rPr>
        <w:t>S Dhingra, H Huang, G Ot</w:t>
      </w:r>
      <w:r>
        <w:rPr>
          <w:rFonts w:ascii="Gill Sans MT" w:hAnsi="Gill Sans MT"/>
          <w:sz w:val="22"/>
          <w:szCs w:val="22"/>
        </w:rPr>
        <w:t xml:space="preserve">taviano, JP Pessoa, T Sampson, JV Reenen. (2017) “The costs and benefits of leaving the EU: trade effects.” </w:t>
      </w:r>
      <w:r>
        <w:rPr>
          <w:rFonts w:ascii="Gill Sans MT" w:hAnsi="Gill Sans MT"/>
          <w:i/>
          <w:iCs/>
          <w:sz w:val="22"/>
          <w:szCs w:val="22"/>
        </w:rPr>
        <w:t xml:space="preserve">Economic Policy </w:t>
      </w:r>
      <w:r>
        <w:rPr>
          <w:rFonts w:ascii="Gill Sans MT" w:hAnsi="Gill Sans MT"/>
          <w:sz w:val="22"/>
          <w:szCs w:val="22"/>
        </w:rPr>
        <w:t xml:space="preserve">32(92): </w:t>
      </w:r>
      <w:r w:rsidRPr="009A5E85">
        <w:rPr>
          <w:rFonts w:ascii="Gill Sans MT" w:hAnsi="Gill Sans MT"/>
          <w:sz w:val="22"/>
          <w:szCs w:val="22"/>
        </w:rPr>
        <w:t>0266-4658</w:t>
      </w:r>
      <w:r>
        <w:rPr>
          <w:rFonts w:ascii="Gill Sans MT" w:hAnsi="Gill Sans MT"/>
          <w:sz w:val="22"/>
          <w:szCs w:val="22"/>
        </w:rPr>
        <w:t xml:space="preserve"> [49</w:t>
      </w:r>
      <w:r w:rsidR="002E3DE0">
        <w:rPr>
          <w:rFonts w:ascii="Gill Sans MT" w:hAnsi="Gill Sans MT"/>
          <w:sz w:val="22"/>
          <w:szCs w:val="22"/>
        </w:rPr>
        <w:t>7</w:t>
      </w:r>
      <w:r>
        <w:rPr>
          <w:rFonts w:ascii="Gill Sans MT" w:hAnsi="Gill Sans MT"/>
          <w:sz w:val="22"/>
          <w:szCs w:val="22"/>
        </w:rPr>
        <w:t xml:space="preserve"> citations] </w:t>
      </w:r>
    </w:p>
    <w:p w14:paraId="65C72F1F" w14:textId="77777777" w:rsidR="00E71593" w:rsidRDefault="00E71593" w:rsidP="00E7159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2567AEF3" w14:textId="28C5E507" w:rsidR="00E71593" w:rsidRDefault="00E71593" w:rsidP="00E7159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I </w:t>
      </w:r>
      <w:proofErr w:type="spellStart"/>
      <w:r>
        <w:rPr>
          <w:rFonts w:ascii="Gill Sans MT" w:hAnsi="Gill Sans MT"/>
          <w:sz w:val="22"/>
          <w:szCs w:val="22"/>
        </w:rPr>
        <w:t>Fusacchia</w:t>
      </w:r>
      <w:proofErr w:type="spellEnd"/>
      <w:r>
        <w:rPr>
          <w:rFonts w:ascii="Gill Sans MT" w:hAnsi="Gill Sans MT"/>
          <w:sz w:val="22"/>
          <w:szCs w:val="22"/>
        </w:rPr>
        <w:t>, L Salvatici, L Alan Winters. (2022) “T</w:t>
      </w:r>
      <w:r w:rsidRPr="001C00C2">
        <w:rPr>
          <w:rFonts w:ascii="Gill Sans MT" w:hAnsi="Gill Sans MT"/>
          <w:sz w:val="22"/>
          <w:szCs w:val="22"/>
        </w:rPr>
        <w:t>he consequences of the Trade and Cooperation Agreement for the UK’s international trade</w:t>
      </w:r>
      <w:r>
        <w:rPr>
          <w:rFonts w:ascii="Gill Sans MT" w:hAnsi="Gill Sans MT"/>
          <w:sz w:val="22"/>
          <w:szCs w:val="22"/>
        </w:rPr>
        <w:t xml:space="preserve">” </w:t>
      </w:r>
      <w:r w:rsidRPr="009576B1">
        <w:rPr>
          <w:rFonts w:ascii="Gill Sans MT" w:hAnsi="Gill Sans MT"/>
          <w:i/>
          <w:iCs/>
          <w:sz w:val="22"/>
          <w:szCs w:val="22"/>
        </w:rPr>
        <w:t>Oxford Review of Economic Policy</w:t>
      </w:r>
      <w:r>
        <w:rPr>
          <w:rFonts w:ascii="Gill Sans MT" w:hAnsi="Gill Sans MT"/>
          <w:i/>
          <w:iCs/>
          <w:sz w:val="22"/>
          <w:szCs w:val="22"/>
        </w:rPr>
        <w:t xml:space="preserve"> </w:t>
      </w:r>
      <w:r>
        <w:rPr>
          <w:rFonts w:ascii="Gill Sans MT" w:hAnsi="Gill Sans MT"/>
          <w:sz w:val="22"/>
          <w:szCs w:val="22"/>
        </w:rPr>
        <w:t xml:space="preserve">Volume 38 (1): </w:t>
      </w:r>
      <w:r w:rsidRPr="00EB0CC1">
        <w:rPr>
          <w:rFonts w:ascii="Gill Sans MT" w:hAnsi="Gill Sans MT"/>
          <w:sz w:val="22"/>
          <w:szCs w:val="22"/>
        </w:rPr>
        <w:t>0266-903X</w:t>
      </w:r>
      <w:r>
        <w:rPr>
          <w:rFonts w:ascii="Gill Sans MT" w:hAnsi="Gill Sans MT"/>
          <w:sz w:val="22"/>
          <w:szCs w:val="22"/>
        </w:rPr>
        <w:t xml:space="preserve"> [28 citations]</w:t>
      </w:r>
    </w:p>
    <w:p w14:paraId="55E5BF12" w14:textId="77777777" w:rsidR="00E04123" w:rsidRDefault="00E04123" w:rsidP="00E7159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22"/>
          <w:szCs w:val="22"/>
        </w:rPr>
      </w:pPr>
    </w:p>
    <w:p w14:paraId="7FCE1298" w14:textId="77777777" w:rsidR="00417808" w:rsidRPr="00002AA4" w:rsidRDefault="00417808" w:rsidP="00417808">
      <w:pPr>
        <w:rPr>
          <w:rFonts w:ascii="Gill Sans MT" w:hAnsi="Gill Sans MT"/>
          <w:sz w:val="22"/>
          <w:szCs w:val="22"/>
        </w:rPr>
      </w:pPr>
    </w:p>
    <w:p w14:paraId="1FAC4BCE" w14:textId="7DD42A29" w:rsidR="00417808" w:rsidRPr="00002AA4" w:rsidRDefault="00417808" w:rsidP="00417808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000000" w:themeFill="text1"/>
        <w:spacing w:line="276" w:lineRule="auto"/>
        <w:rPr>
          <w:rFonts w:ascii="Gill Sans MT" w:hAnsi="Gill Sans MT"/>
          <w:b/>
          <w:bCs/>
          <w:color w:val="FFFFFF" w:themeColor="background1"/>
          <w:sz w:val="22"/>
          <w:szCs w:val="22"/>
        </w:rPr>
      </w:pPr>
      <w:proofErr w:type="gramStart"/>
      <w:r w:rsidRPr="00002AA4">
        <w:rPr>
          <w:rFonts w:ascii="Gill Sans MT" w:hAnsi="Gill Sans MT"/>
          <w:b/>
          <w:bCs/>
          <w:color w:val="FFFFFF" w:themeColor="background1"/>
          <w:sz w:val="22"/>
          <w:szCs w:val="22"/>
        </w:rPr>
        <w:t>Check-List</w:t>
      </w:r>
      <w:proofErr w:type="gramEnd"/>
    </w:p>
    <w:p w14:paraId="2FE4D79B" w14:textId="77777777" w:rsidR="00417808" w:rsidRPr="00002AA4" w:rsidRDefault="0041780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Gill Sans MT" w:hAnsi="Gill Sans MT"/>
          <w:sz w:val="10"/>
          <w:szCs w:val="10"/>
        </w:rPr>
      </w:pPr>
    </w:p>
    <w:p w14:paraId="793030DE" w14:textId="2DC102AF" w:rsidR="00417808" w:rsidRPr="00002AA4" w:rsidRDefault="0041780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i/>
          <w:iCs/>
          <w:sz w:val="22"/>
          <w:szCs w:val="22"/>
        </w:rPr>
      </w:pPr>
      <w:r w:rsidRPr="00002AA4">
        <w:rPr>
          <w:rFonts w:ascii="Gill Sans MT" w:hAnsi="Gill Sans MT"/>
          <w:i/>
          <w:iCs/>
          <w:sz w:val="22"/>
          <w:szCs w:val="22"/>
        </w:rPr>
        <w:t>Please confirm (by ticking the box) that you have considered/action the following:</w:t>
      </w:r>
    </w:p>
    <w:p w14:paraId="128CA2CE" w14:textId="5C7724FA" w:rsidR="00417808" w:rsidRPr="0099147E" w:rsidRDefault="0041780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i/>
          <w:iCs/>
          <w:sz w:val="12"/>
          <w:szCs w:val="12"/>
        </w:rPr>
      </w:pPr>
    </w:p>
    <w:p w14:paraId="61D262C9" w14:textId="52CE7EA2" w:rsidR="00122FAB" w:rsidRDefault="000D0C5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12152430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122FAB" w:rsidRPr="00002AA4">
        <w:rPr>
          <w:rFonts w:ascii="Times New Roman" w:hAnsi="Times New Roman"/>
          <w:sz w:val="22"/>
          <w:szCs w:val="22"/>
        </w:rPr>
        <w:t xml:space="preserve"> </w:t>
      </w:r>
      <w:r w:rsidR="00122FAB" w:rsidRPr="00002AA4">
        <w:rPr>
          <w:rFonts w:ascii="Gill Sans MT" w:hAnsi="Gill Sans MT"/>
          <w:sz w:val="22"/>
          <w:szCs w:val="22"/>
        </w:rPr>
        <w:t>I have</w:t>
      </w:r>
      <w:r w:rsidR="00122FAB">
        <w:rPr>
          <w:rFonts w:ascii="Gill Sans MT" w:hAnsi="Gill Sans MT"/>
          <w:sz w:val="22"/>
          <w:szCs w:val="22"/>
        </w:rPr>
        <w:t xml:space="preserve"> completed all sections relevant to my proposal as instructed</w:t>
      </w:r>
      <w:r w:rsidR="00122FAB" w:rsidRPr="00002AA4">
        <w:rPr>
          <w:rFonts w:ascii="Gill Sans MT" w:hAnsi="Gill Sans MT"/>
          <w:sz w:val="22"/>
          <w:szCs w:val="22"/>
        </w:rPr>
        <w:t>.</w:t>
      </w:r>
    </w:p>
    <w:p w14:paraId="167AC551" w14:textId="780B9BE0" w:rsidR="00652D5C" w:rsidRPr="00122FAB" w:rsidRDefault="000D0C5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1833716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65F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52D5C">
        <w:rPr>
          <w:rFonts w:ascii="Times New Roman" w:hAnsi="Times New Roman"/>
          <w:sz w:val="22"/>
          <w:szCs w:val="22"/>
        </w:rPr>
        <w:t xml:space="preserve"> </w:t>
      </w:r>
      <w:r w:rsidR="00652D5C" w:rsidRPr="00652D5C">
        <w:rPr>
          <w:rFonts w:ascii="Gill Sans MT" w:hAnsi="Gill Sans MT"/>
          <w:sz w:val="22"/>
          <w:szCs w:val="22"/>
        </w:rPr>
        <w:t xml:space="preserve">I have </w:t>
      </w:r>
      <w:r w:rsidR="000F6E2C" w:rsidRPr="00652D5C">
        <w:rPr>
          <w:rFonts w:ascii="Gill Sans MT" w:hAnsi="Gill Sans MT"/>
          <w:sz w:val="22"/>
          <w:szCs w:val="22"/>
        </w:rPr>
        <w:t>not</w:t>
      </w:r>
      <w:r w:rsidR="00652D5C" w:rsidRPr="00652D5C">
        <w:rPr>
          <w:rFonts w:ascii="Gill Sans MT" w:hAnsi="Gill Sans MT"/>
          <w:sz w:val="22"/>
          <w:szCs w:val="22"/>
        </w:rPr>
        <w:t xml:space="preserve"> bothered reading the instructions.</w:t>
      </w:r>
    </w:p>
    <w:p w14:paraId="1F77B026" w14:textId="76AFC1C2" w:rsidR="00417808" w:rsidRDefault="000D0C5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14879732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17808" w:rsidRPr="00002AA4">
        <w:rPr>
          <w:rFonts w:ascii="Times New Roman" w:hAnsi="Times New Roman"/>
          <w:sz w:val="22"/>
          <w:szCs w:val="22"/>
        </w:rPr>
        <w:t xml:space="preserve"> </w:t>
      </w:r>
      <w:r w:rsidR="00417808" w:rsidRPr="00002AA4">
        <w:rPr>
          <w:rFonts w:ascii="Gill Sans MT" w:hAnsi="Gill Sans MT"/>
          <w:sz w:val="22"/>
          <w:szCs w:val="22"/>
        </w:rPr>
        <w:t xml:space="preserve">I have read through my completed proposal form </w:t>
      </w:r>
      <w:r w:rsidR="00417808" w:rsidRPr="00002AA4">
        <w:rPr>
          <w:rFonts w:ascii="Gill Sans MT" w:hAnsi="Gill Sans MT"/>
          <w:i/>
          <w:iCs/>
          <w:sz w:val="22"/>
          <w:szCs w:val="22"/>
        </w:rPr>
        <w:t>several times</w:t>
      </w:r>
      <w:r w:rsidR="00417808" w:rsidRPr="00002AA4">
        <w:rPr>
          <w:rFonts w:ascii="Gill Sans MT" w:hAnsi="Gill Sans MT"/>
          <w:sz w:val="22"/>
          <w:szCs w:val="22"/>
        </w:rPr>
        <w:t xml:space="preserve"> and used a spell </w:t>
      </w:r>
      <w:r w:rsidR="00122FAB">
        <w:rPr>
          <w:rFonts w:ascii="Gill Sans MT" w:hAnsi="Gill Sans MT"/>
          <w:sz w:val="22"/>
          <w:szCs w:val="22"/>
        </w:rPr>
        <w:t xml:space="preserve">and grammar </w:t>
      </w:r>
      <w:r w:rsidR="00417808" w:rsidRPr="00002AA4">
        <w:rPr>
          <w:rFonts w:ascii="Gill Sans MT" w:hAnsi="Gill Sans MT"/>
          <w:sz w:val="22"/>
          <w:szCs w:val="22"/>
        </w:rPr>
        <w:t>check (set to British English).</w:t>
      </w:r>
    </w:p>
    <w:p w14:paraId="57A7F380" w14:textId="2812BDE9" w:rsidR="0099147E" w:rsidRDefault="000D0C5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10527358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99147E" w:rsidRPr="00002AA4">
        <w:rPr>
          <w:rFonts w:ascii="Times New Roman" w:hAnsi="Times New Roman"/>
          <w:sz w:val="22"/>
          <w:szCs w:val="22"/>
        </w:rPr>
        <w:t xml:space="preserve"> </w:t>
      </w:r>
      <w:r w:rsidR="0099147E" w:rsidRPr="00002AA4">
        <w:rPr>
          <w:rFonts w:ascii="Gill Sans MT" w:hAnsi="Gill Sans MT"/>
          <w:sz w:val="22"/>
          <w:szCs w:val="22"/>
        </w:rPr>
        <w:t xml:space="preserve">I </w:t>
      </w:r>
      <w:r w:rsidR="0099147E">
        <w:rPr>
          <w:rFonts w:ascii="Gill Sans MT" w:hAnsi="Gill Sans MT"/>
          <w:sz w:val="22"/>
          <w:szCs w:val="22"/>
        </w:rPr>
        <w:t xml:space="preserve">am aware of the ‘style’ of writing adopted </w:t>
      </w:r>
      <w:r w:rsidR="00652D5C">
        <w:rPr>
          <w:rFonts w:ascii="Gill Sans MT" w:hAnsi="Gill Sans MT"/>
          <w:sz w:val="22"/>
          <w:szCs w:val="22"/>
        </w:rPr>
        <w:t xml:space="preserve">for </w:t>
      </w:r>
      <w:r w:rsidR="0099147E">
        <w:rPr>
          <w:rFonts w:ascii="Gill Sans MT" w:hAnsi="Gill Sans MT"/>
          <w:sz w:val="22"/>
          <w:szCs w:val="22"/>
        </w:rPr>
        <w:t>an academic article in economics and have attempted to emulate this</w:t>
      </w:r>
      <w:r w:rsidR="0099147E" w:rsidRPr="00002AA4">
        <w:rPr>
          <w:rFonts w:ascii="Gill Sans MT" w:hAnsi="Gill Sans MT"/>
          <w:sz w:val="22"/>
          <w:szCs w:val="22"/>
        </w:rPr>
        <w:t>.</w:t>
      </w:r>
      <w:r w:rsidR="0099147E">
        <w:rPr>
          <w:rFonts w:ascii="Gill Sans MT" w:hAnsi="Gill Sans MT"/>
          <w:sz w:val="22"/>
          <w:szCs w:val="22"/>
        </w:rPr>
        <w:t xml:space="preserve"> I know the difference to writing styles in journalism, diary, or fiction.</w:t>
      </w:r>
    </w:p>
    <w:p w14:paraId="127153D3" w14:textId="5A39A828" w:rsidR="00122FAB" w:rsidRPr="00002AA4" w:rsidRDefault="000D0C58" w:rsidP="00122FA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-1419630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FAB" w:rsidRPr="00002AA4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122FAB" w:rsidRPr="00002AA4">
        <w:rPr>
          <w:rFonts w:ascii="Times New Roman" w:hAnsi="Times New Roman"/>
          <w:sz w:val="22"/>
          <w:szCs w:val="22"/>
        </w:rPr>
        <w:t xml:space="preserve"> </w:t>
      </w:r>
      <w:r w:rsidR="00122FAB" w:rsidRPr="00002AA4">
        <w:rPr>
          <w:rFonts w:ascii="Gill Sans MT" w:hAnsi="Gill Sans MT"/>
          <w:sz w:val="22"/>
          <w:szCs w:val="22"/>
        </w:rPr>
        <w:t>I have</w:t>
      </w:r>
      <w:r w:rsidR="00122FAB">
        <w:rPr>
          <w:rFonts w:ascii="Gill Sans MT" w:hAnsi="Gill Sans MT"/>
          <w:sz w:val="22"/>
          <w:szCs w:val="22"/>
        </w:rPr>
        <w:t xml:space="preserve"> left Section V blank because I am writing an ‘analytical literature review’, a ‘theoretical dissertation’ or a ‘policy analysis’ type dissertation</w:t>
      </w:r>
      <w:r w:rsidR="00122FAB" w:rsidRPr="00002AA4">
        <w:rPr>
          <w:rFonts w:ascii="Gill Sans MT" w:hAnsi="Gill Sans MT"/>
          <w:sz w:val="22"/>
          <w:szCs w:val="22"/>
        </w:rPr>
        <w:t>.</w:t>
      </w:r>
    </w:p>
    <w:p w14:paraId="4A1528B3" w14:textId="5CB51A90" w:rsidR="00122FAB" w:rsidRPr="00002AA4" w:rsidRDefault="000D0C5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18896072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122FAB" w:rsidRPr="00002AA4">
        <w:rPr>
          <w:rFonts w:ascii="Times New Roman" w:hAnsi="Times New Roman"/>
          <w:sz w:val="22"/>
          <w:szCs w:val="22"/>
        </w:rPr>
        <w:t xml:space="preserve"> </w:t>
      </w:r>
      <w:r w:rsidR="00122FAB" w:rsidRPr="00002AA4">
        <w:rPr>
          <w:rFonts w:ascii="Gill Sans MT" w:hAnsi="Gill Sans MT"/>
          <w:sz w:val="22"/>
          <w:szCs w:val="22"/>
        </w:rPr>
        <w:t>I have</w:t>
      </w:r>
      <w:r w:rsidR="00122FAB">
        <w:rPr>
          <w:rFonts w:ascii="Gill Sans MT" w:hAnsi="Gill Sans MT"/>
          <w:sz w:val="22"/>
          <w:szCs w:val="22"/>
        </w:rPr>
        <w:t xml:space="preserve"> entered the word counts for my written work in Sections II</w:t>
      </w:r>
      <w:r w:rsidR="00A31B1E">
        <w:rPr>
          <w:rFonts w:ascii="Gill Sans MT" w:hAnsi="Gill Sans MT"/>
          <w:sz w:val="22"/>
          <w:szCs w:val="22"/>
        </w:rPr>
        <w:t xml:space="preserve">, </w:t>
      </w:r>
      <w:r w:rsidR="00122FAB">
        <w:rPr>
          <w:rFonts w:ascii="Gill Sans MT" w:hAnsi="Gill Sans MT"/>
          <w:sz w:val="22"/>
          <w:szCs w:val="22"/>
        </w:rPr>
        <w:t>IV</w:t>
      </w:r>
      <w:r w:rsidR="00A31B1E">
        <w:rPr>
          <w:rFonts w:ascii="Gill Sans MT" w:hAnsi="Gill Sans MT"/>
          <w:sz w:val="22"/>
          <w:szCs w:val="22"/>
        </w:rPr>
        <w:t xml:space="preserve"> and VI</w:t>
      </w:r>
      <w:r w:rsidR="00122FAB" w:rsidRPr="00002AA4">
        <w:rPr>
          <w:rFonts w:ascii="Gill Sans MT" w:hAnsi="Gill Sans MT"/>
          <w:sz w:val="22"/>
          <w:szCs w:val="22"/>
        </w:rPr>
        <w:t>.</w:t>
      </w:r>
    </w:p>
    <w:p w14:paraId="351699CB" w14:textId="768892A2" w:rsidR="00417808" w:rsidRPr="00002AA4" w:rsidRDefault="000D0C5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15613678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17808" w:rsidRPr="00002AA4">
        <w:rPr>
          <w:rFonts w:ascii="Times New Roman" w:hAnsi="Times New Roman"/>
          <w:sz w:val="22"/>
          <w:szCs w:val="22"/>
        </w:rPr>
        <w:t xml:space="preserve"> </w:t>
      </w:r>
      <w:r w:rsidR="00417808" w:rsidRPr="00002AA4">
        <w:rPr>
          <w:rFonts w:ascii="Gill Sans MT" w:hAnsi="Gill Sans MT"/>
          <w:sz w:val="22"/>
          <w:szCs w:val="22"/>
        </w:rPr>
        <w:t>I have checked that my references conform to the style/standards in the economics literature.</w:t>
      </w:r>
    </w:p>
    <w:p w14:paraId="33A16F6C" w14:textId="4F17C6A6" w:rsidR="005259AF" w:rsidRDefault="000D0C58" w:rsidP="005259A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-6852876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5259AF" w:rsidRPr="00002AA4">
        <w:rPr>
          <w:rFonts w:ascii="Times New Roman" w:hAnsi="Times New Roman"/>
          <w:sz w:val="22"/>
          <w:szCs w:val="22"/>
        </w:rPr>
        <w:t xml:space="preserve"> </w:t>
      </w:r>
      <w:r w:rsidR="005259AF" w:rsidRPr="00002AA4">
        <w:rPr>
          <w:rFonts w:ascii="Gill Sans MT" w:hAnsi="Gill Sans MT"/>
          <w:sz w:val="22"/>
          <w:szCs w:val="22"/>
        </w:rPr>
        <w:t xml:space="preserve">I have </w:t>
      </w:r>
      <w:r w:rsidR="005259AF">
        <w:rPr>
          <w:rFonts w:ascii="Gill Sans MT" w:hAnsi="Gill Sans MT"/>
          <w:sz w:val="22"/>
          <w:szCs w:val="22"/>
        </w:rPr>
        <w:t>added the Google Scholar citation count for my core references in Section III</w:t>
      </w:r>
      <w:r w:rsidR="005259AF" w:rsidRPr="00002AA4">
        <w:rPr>
          <w:rFonts w:ascii="Gill Sans MT" w:hAnsi="Gill Sans MT"/>
          <w:sz w:val="22"/>
          <w:szCs w:val="22"/>
        </w:rPr>
        <w:t>.</w:t>
      </w:r>
    </w:p>
    <w:p w14:paraId="46150443" w14:textId="7291A13B" w:rsidR="00652D5C" w:rsidRPr="00002AA4" w:rsidRDefault="000D0C58" w:rsidP="005259AF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17922464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652D5C">
        <w:rPr>
          <w:rFonts w:ascii="Times New Roman" w:hAnsi="Times New Roman"/>
          <w:sz w:val="22"/>
          <w:szCs w:val="22"/>
        </w:rPr>
        <w:t xml:space="preserve"> </w:t>
      </w:r>
      <w:r w:rsidR="00652D5C" w:rsidRPr="00652D5C">
        <w:rPr>
          <w:rFonts w:ascii="Gill Sans MT" w:hAnsi="Gill Sans MT"/>
          <w:sz w:val="22"/>
          <w:szCs w:val="22"/>
        </w:rPr>
        <w:t xml:space="preserve">I did not fill in Section </w:t>
      </w:r>
      <w:r w:rsidR="00652D5C">
        <w:rPr>
          <w:rFonts w:ascii="Gill Sans MT" w:hAnsi="Gill Sans MT"/>
          <w:sz w:val="22"/>
          <w:szCs w:val="22"/>
        </w:rPr>
        <w:t>VII</w:t>
      </w:r>
      <w:r w:rsidR="00652D5C" w:rsidRPr="00652D5C">
        <w:rPr>
          <w:rFonts w:ascii="Gill Sans MT" w:hAnsi="Gill Sans MT"/>
          <w:sz w:val="22"/>
          <w:szCs w:val="22"/>
        </w:rPr>
        <w:t xml:space="preserve"> because I am planning an empirical dissertation.</w:t>
      </w:r>
    </w:p>
    <w:p w14:paraId="03A9E3DB" w14:textId="26A57B45" w:rsidR="00417808" w:rsidRDefault="000D0C58" w:rsidP="004178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-3777802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417808" w:rsidRPr="00002AA4">
        <w:rPr>
          <w:rFonts w:ascii="Times New Roman" w:hAnsi="Times New Roman"/>
          <w:sz w:val="22"/>
          <w:szCs w:val="22"/>
        </w:rPr>
        <w:t xml:space="preserve"> </w:t>
      </w:r>
      <w:r w:rsidR="00417808" w:rsidRPr="00002AA4">
        <w:rPr>
          <w:rFonts w:ascii="Gill Sans MT" w:hAnsi="Gill Sans MT"/>
          <w:sz w:val="22"/>
          <w:szCs w:val="22"/>
        </w:rPr>
        <w:t>I have appropriately referenced work by others in my introduction and literature review sections. I am aware of the University regulations regarding plagiarism and academic misconduct (see section on ECON3001 Moodle page).</w:t>
      </w:r>
    </w:p>
    <w:p w14:paraId="03903256" w14:textId="0BDCAA81" w:rsidR="00542878" w:rsidRPr="00002AA4" w:rsidRDefault="000D0C58" w:rsidP="0054287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273686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2878" w:rsidRPr="00002AA4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542878" w:rsidRPr="00002AA4">
        <w:rPr>
          <w:rFonts w:ascii="Times New Roman" w:hAnsi="Times New Roman"/>
          <w:sz w:val="22"/>
          <w:szCs w:val="22"/>
        </w:rPr>
        <w:t xml:space="preserve"> </w:t>
      </w:r>
      <w:r w:rsidR="00542878" w:rsidRPr="00002AA4">
        <w:rPr>
          <w:rFonts w:ascii="Gill Sans MT" w:hAnsi="Gill Sans MT"/>
          <w:sz w:val="22"/>
          <w:szCs w:val="22"/>
        </w:rPr>
        <w:t xml:space="preserve">I </w:t>
      </w:r>
      <w:r w:rsidR="00E37E41">
        <w:rPr>
          <w:rFonts w:ascii="Gill Sans MT" w:hAnsi="Gill Sans MT"/>
          <w:sz w:val="22"/>
          <w:szCs w:val="22"/>
        </w:rPr>
        <w:t>am aware that I will need to</w:t>
      </w:r>
      <w:r w:rsidR="00542878">
        <w:rPr>
          <w:rFonts w:ascii="Gill Sans MT" w:hAnsi="Gill Sans MT"/>
          <w:sz w:val="22"/>
          <w:szCs w:val="22"/>
        </w:rPr>
        <w:t xml:space="preserve"> obtain ethical approval for </w:t>
      </w:r>
      <w:r w:rsidR="00E37E41">
        <w:rPr>
          <w:rFonts w:ascii="Gill Sans MT" w:hAnsi="Gill Sans MT"/>
          <w:sz w:val="22"/>
          <w:szCs w:val="22"/>
        </w:rPr>
        <w:t>any</w:t>
      </w:r>
      <w:r w:rsidR="00542878">
        <w:rPr>
          <w:rFonts w:ascii="Gill Sans MT" w:hAnsi="Gill Sans MT"/>
          <w:sz w:val="22"/>
          <w:szCs w:val="22"/>
        </w:rPr>
        <w:t xml:space="preserve"> data I plan to collect from human subjects (</w:t>
      </w:r>
      <w:r w:rsidR="00A31B1E">
        <w:rPr>
          <w:rFonts w:ascii="Gill Sans MT" w:hAnsi="Gill Sans MT"/>
          <w:sz w:val="22"/>
          <w:szCs w:val="22"/>
        </w:rPr>
        <w:t>applie</w:t>
      </w:r>
      <w:r w:rsidR="00E37E41">
        <w:rPr>
          <w:rFonts w:ascii="Gill Sans MT" w:hAnsi="Gill Sans MT"/>
          <w:sz w:val="22"/>
          <w:szCs w:val="22"/>
        </w:rPr>
        <w:t>s</w:t>
      </w:r>
      <w:r w:rsidR="00A31B1E">
        <w:rPr>
          <w:rFonts w:ascii="Gill Sans MT" w:hAnsi="Gill Sans MT"/>
          <w:sz w:val="22"/>
          <w:szCs w:val="22"/>
        </w:rPr>
        <w:t xml:space="preserve"> to</w:t>
      </w:r>
      <w:r w:rsidR="00542878">
        <w:rPr>
          <w:rFonts w:ascii="Gill Sans MT" w:hAnsi="Gill Sans MT"/>
          <w:sz w:val="22"/>
          <w:szCs w:val="22"/>
        </w:rPr>
        <w:t xml:space="preserve"> </w:t>
      </w:r>
      <w:r w:rsidR="00A31B1E">
        <w:rPr>
          <w:rFonts w:ascii="Gill Sans MT" w:hAnsi="Gill Sans MT"/>
          <w:sz w:val="22"/>
          <w:szCs w:val="22"/>
        </w:rPr>
        <w:t xml:space="preserve">students conducting </w:t>
      </w:r>
      <w:r w:rsidR="00542878" w:rsidRPr="00652D5C">
        <w:rPr>
          <w:rFonts w:ascii="Gill Sans MT" w:hAnsi="Gill Sans MT"/>
          <w:b/>
          <w:bCs/>
          <w:sz w:val="22"/>
          <w:szCs w:val="22"/>
        </w:rPr>
        <w:t>original surveys or lab experiments</w:t>
      </w:r>
      <w:r w:rsidR="00652D5C">
        <w:rPr>
          <w:rFonts w:ascii="Gill Sans MT" w:hAnsi="Gill Sans MT"/>
          <w:b/>
          <w:bCs/>
          <w:sz w:val="22"/>
          <w:szCs w:val="22"/>
        </w:rPr>
        <w:t xml:space="preserve"> only</w:t>
      </w:r>
      <w:r w:rsidR="00542878">
        <w:rPr>
          <w:rFonts w:ascii="Gill Sans MT" w:hAnsi="Gill Sans MT"/>
          <w:sz w:val="22"/>
          <w:szCs w:val="22"/>
        </w:rPr>
        <w:t>)</w:t>
      </w:r>
      <w:r w:rsidR="00542878" w:rsidRPr="00002AA4">
        <w:rPr>
          <w:rFonts w:ascii="Gill Sans MT" w:hAnsi="Gill Sans MT"/>
          <w:sz w:val="22"/>
          <w:szCs w:val="22"/>
        </w:rPr>
        <w:t>.</w:t>
      </w:r>
    </w:p>
    <w:p w14:paraId="4923EBE0" w14:textId="2A08D505" w:rsidR="00417808" w:rsidRDefault="000D0C58" w:rsidP="0099147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-16357777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7A91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9D327C" w:rsidRPr="00002AA4">
        <w:rPr>
          <w:rFonts w:ascii="Times New Roman" w:hAnsi="Times New Roman"/>
          <w:sz w:val="22"/>
          <w:szCs w:val="22"/>
        </w:rPr>
        <w:t xml:space="preserve"> </w:t>
      </w:r>
      <w:r w:rsidR="009D327C" w:rsidRPr="00002AA4">
        <w:rPr>
          <w:rFonts w:ascii="Gill Sans MT" w:hAnsi="Gill Sans MT"/>
          <w:sz w:val="22"/>
          <w:szCs w:val="22"/>
        </w:rPr>
        <w:t xml:space="preserve">I </w:t>
      </w:r>
      <w:r w:rsidR="009D327C">
        <w:rPr>
          <w:rFonts w:ascii="Gill Sans MT" w:hAnsi="Gill Sans MT"/>
          <w:sz w:val="22"/>
          <w:szCs w:val="22"/>
        </w:rPr>
        <w:t xml:space="preserve">am aware that a table covering </w:t>
      </w:r>
      <w:r w:rsidR="009D327C" w:rsidRPr="009D327C">
        <w:rPr>
          <w:rFonts w:ascii="Gill Sans MT" w:hAnsi="Gill Sans MT"/>
          <w:sz w:val="22"/>
          <w:szCs w:val="22"/>
        </w:rPr>
        <w:t>further details</w:t>
      </w:r>
      <w:r w:rsidR="009D327C">
        <w:rPr>
          <w:rFonts w:ascii="Gill Sans MT" w:hAnsi="Gill Sans MT"/>
          <w:sz w:val="22"/>
          <w:szCs w:val="22"/>
        </w:rPr>
        <w:t xml:space="preserve"> of the literature I review (posted in the </w:t>
      </w:r>
      <w:r w:rsidR="00C90222">
        <w:rPr>
          <w:rFonts w:ascii="Gill Sans MT" w:hAnsi="Gill Sans MT"/>
          <w:sz w:val="22"/>
          <w:szCs w:val="22"/>
        </w:rPr>
        <w:t xml:space="preserve">below </w:t>
      </w:r>
      <w:r w:rsidR="009D327C">
        <w:rPr>
          <w:rFonts w:ascii="Gill Sans MT" w:hAnsi="Gill Sans MT"/>
          <w:sz w:val="22"/>
          <w:szCs w:val="22"/>
        </w:rPr>
        <w:t xml:space="preserve">Appendix) is a </w:t>
      </w:r>
      <w:r w:rsidR="009D327C" w:rsidRPr="00A31B1E">
        <w:rPr>
          <w:rFonts w:ascii="Gill Sans MT" w:hAnsi="Gill Sans MT"/>
          <w:i/>
          <w:iCs/>
          <w:sz w:val="22"/>
          <w:szCs w:val="22"/>
        </w:rPr>
        <w:t xml:space="preserve">useful addition but not </w:t>
      </w:r>
      <w:r w:rsidR="005D668A" w:rsidRPr="00A31B1E">
        <w:rPr>
          <w:rFonts w:ascii="Gill Sans MT" w:hAnsi="Gill Sans MT"/>
          <w:i/>
          <w:iCs/>
          <w:sz w:val="22"/>
          <w:szCs w:val="22"/>
        </w:rPr>
        <w:t xml:space="preserve">a </w:t>
      </w:r>
      <w:r w:rsidR="009D327C" w:rsidRPr="00A31B1E">
        <w:rPr>
          <w:rFonts w:ascii="Gill Sans MT" w:hAnsi="Gill Sans MT"/>
          <w:i/>
          <w:iCs/>
          <w:sz w:val="22"/>
          <w:szCs w:val="22"/>
        </w:rPr>
        <w:t>substitute</w:t>
      </w:r>
      <w:r w:rsidR="009D327C">
        <w:rPr>
          <w:rFonts w:ascii="Gill Sans MT" w:hAnsi="Gill Sans MT"/>
          <w:sz w:val="22"/>
          <w:szCs w:val="22"/>
        </w:rPr>
        <w:t xml:space="preserve"> for </w:t>
      </w:r>
      <w:r w:rsidR="005D668A">
        <w:rPr>
          <w:rFonts w:ascii="Gill Sans MT" w:hAnsi="Gill Sans MT"/>
          <w:sz w:val="22"/>
          <w:szCs w:val="22"/>
        </w:rPr>
        <w:t>m</w:t>
      </w:r>
      <w:r w:rsidR="009D327C">
        <w:rPr>
          <w:rFonts w:ascii="Gill Sans MT" w:hAnsi="Gill Sans MT"/>
          <w:sz w:val="22"/>
          <w:szCs w:val="22"/>
        </w:rPr>
        <w:t>y discussion in Section IV</w:t>
      </w:r>
      <w:r w:rsidR="009D327C" w:rsidRPr="00002AA4">
        <w:rPr>
          <w:rFonts w:ascii="Gill Sans MT" w:hAnsi="Gill Sans MT"/>
          <w:sz w:val="22"/>
          <w:szCs w:val="22"/>
        </w:rPr>
        <w:t>.</w:t>
      </w:r>
    </w:p>
    <w:p w14:paraId="149C4C01" w14:textId="02D04C65" w:rsidR="003838DF" w:rsidRDefault="000D0C58" w:rsidP="0099147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id w:val="-2141952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62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838DF">
        <w:rPr>
          <w:rFonts w:ascii="Times New Roman" w:hAnsi="Times New Roman"/>
          <w:sz w:val="22"/>
          <w:szCs w:val="22"/>
        </w:rPr>
        <w:t xml:space="preserve"> </w:t>
      </w:r>
      <w:r w:rsidR="003838DF" w:rsidRPr="00002AA4">
        <w:rPr>
          <w:rFonts w:ascii="Gill Sans MT" w:hAnsi="Gill Sans MT"/>
          <w:sz w:val="22"/>
          <w:szCs w:val="22"/>
        </w:rPr>
        <w:t xml:space="preserve">I </w:t>
      </w:r>
      <w:r w:rsidR="003838DF">
        <w:rPr>
          <w:rFonts w:ascii="Gill Sans MT" w:hAnsi="Gill Sans MT"/>
          <w:sz w:val="22"/>
          <w:szCs w:val="22"/>
        </w:rPr>
        <w:t xml:space="preserve">do </w:t>
      </w:r>
      <w:r w:rsidR="003838DF" w:rsidRPr="003838DF">
        <w:rPr>
          <w:rFonts w:ascii="Gill Sans MT" w:hAnsi="Gill Sans MT"/>
          <w:sz w:val="22"/>
          <w:szCs w:val="22"/>
          <w:u w:val="single"/>
        </w:rPr>
        <w:t>not</w:t>
      </w:r>
      <w:r w:rsidR="003838DF">
        <w:rPr>
          <w:rFonts w:ascii="Gill Sans MT" w:hAnsi="Gill Sans MT"/>
          <w:sz w:val="22"/>
          <w:szCs w:val="22"/>
        </w:rPr>
        <w:t xml:space="preserve"> give my consent for this work to be used anonymously for teaching purposes to help future cohorts of dissertation students.</w:t>
      </w:r>
    </w:p>
    <w:p w14:paraId="333EB6DE" w14:textId="77777777" w:rsidR="0099147E" w:rsidRPr="0099147E" w:rsidRDefault="0099147E" w:rsidP="0099147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3261"/>
        </w:tabs>
        <w:rPr>
          <w:rFonts w:ascii="Gill Sans MT" w:hAnsi="Gill Sans MT"/>
          <w:sz w:val="12"/>
          <w:szCs w:val="12"/>
        </w:rPr>
      </w:pPr>
    </w:p>
    <w:p w14:paraId="67655A45" w14:textId="77777777" w:rsidR="00AE0B69" w:rsidRDefault="00AE0B69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102B8840" w14:textId="77777777" w:rsidR="006C586E" w:rsidRDefault="006C586E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025C9E02" w14:textId="77777777" w:rsidR="00277A91" w:rsidRDefault="00277A91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079EB698" w14:textId="77777777" w:rsidR="00277A91" w:rsidRDefault="00277A91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5ED2D426" w14:textId="77777777" w:rsidR="00EE40A6" w:rsidRDefault="00EE40A6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78179888" w14:textId="77777777" w:rsidR="00EE40A6" w:rsidRDefault="00EE40A6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75F2BB9F" w14:textId="77777777" w:rsidR="00C21E1B" w:rsidRDefault="00C21E1B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40CDCED4" w14:textId="77777777" w:rsidR="00C21E1B" w:rsidRDefault="00C21E1B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1F0DC106" w14:textId="77777777" w:rsidR="00C21E1B" w:rsidRDefault="00C21E1B" w:rsidP="00122FAB">
      <w:pPr>
        <w:rPr>
          <w:rFonts w:ascii="Gill Sans MT" w:hAnsi="Gill Sans MT"/>
          <w:b/>
          <w:bCs/>
          <w:sz w:val="22"/>
          <w:szCs w:val="22"/>
        </w:rPr>
      </w:pPr>
    </w:p>
    <w:p w14:paraId="74C09EB3" w14:textId="0874E5C0" w:rsidR="00122FAB" w:rsidRPr="000670D0" w:rsidRDefault="00122FAB" w:rsidP="00122FAB">
      <w:pPr>
        <w:rPr>
          <w:rFonts w:ascii="Gill Sans MT" w:hAnsi="Gill Sans MT"/>
          <w:b/>
          <w:bCs/>
          <w:sz w:val="22"/>
          <w:szCs w:val="22"/>
        </w:rPr>
      </w:pPr>
      <w:r w:rsidRPr="000670D0">
        <w:rPr>
          <w:rFonts w:ascii="Gill Sans MT" w:hAnsi="Gill Sans MT"/>
          <w:b/>
          <w:bCs/>
          <w:sz w:val="22"/>
          <w:szCs w:val="22"/>
        </w:rPr>
        <w:lastRenderedPageBreak/>
        <w:t xml:space="preserve">Appendix/Space for Inclusion of Figures, Tables, etc. </w:t>
      </w:r>
    </w:p>
    <w:p w14:paraId="511A8009" w14:textId="3A17C93E" w:rsidR="009A1103" w:rsidRDefault="009A1103" w:rsidP="00417808">
      <w:pPr>
        <w:rPr>
          <w:rFonts w:ascii="Gill Sans MT" w:hAnsi="Gill Sans MT"/>
          <w:sz w:val="22"/>
          <w:szCs w:val="22"/>
        </w:rPr>
      </w:pPr>
    </w:p>
    <w:p w14:paraId="4B58F0FA" w14:textId="3D9026D1" w:rsidR="009A1103" w:rsidRDefault="00F815F0" w:rsidP="0097185D">
      <w:pPr>
        <w:jc w:val="center"/>
        <w:rPr>
          <w:rFonts w:ascii="Gill Sans MT" w:hAnsi="Gill Sans M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A628C" wp14:editId="1CB93186">
                <wp:simplePos x="0" y="0"/>
                <wp:positionH relativeFrom="margin">
                  <wp:posOffset>781050</wp:posOffset>
                </wp:positionH>
                <wp:positionV relativeFrom="paragraph">
                  <wp:posOffset>42545</wp:posOffset>
                </wp:positionV>
                <wp:extent cx="4165600" cy="232833"/>
                <wp:effectExtent l="0" t="0" r="6350" b="0"/>
                <wp:wrapNone/>
                <wp:docPr id="1577157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2328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6ED77" w14:textId="6774C460" w:rsidR="00AE0B69" w:rsidRDefault="00AE0B69" w:rsidP="00F820A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9F024F">
                              <w:rPr>
                                <w:b/>
                                <w:bCs/>
                              </w:rPr>
                              <w:t xml:space="preserve">Table </w:t>
                            </w:r>
                            <w:r w:rsidRPr="009F024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9F024F">
                              <w:rPr>
                                <w:b/>
                                <w:bCs/>
                              </w:rPr>
                              <w:instrText xml:space="preserve"> SEQ Table \* ARABIC </w:instrText>
                            </w:r>
                            <w:r w:rsidRPr="009F024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FE4A92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9F024F">
                              <w:rPr>
                                <w:b/>
                                <w:bCs/>
                                <w:noProof/>
                              </w:rPr>
                              <w:fldChar w:fldCharType="end"/>
                            </w:r>
                            <w:r w:rsidR="004F6633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="004F6633">
                              <w:rPr>
                                <w:noProof/>
                              </w:rPr>
                              <w:t>Trade Openness Index</w:t>
                            </w:r>
                            <w:r w:rsidR="003F258D">
                              <w:rPr>
                                <w:noProof/>
                              </w:rPr>
                              <w:t xml:space="preserve"> </w:t>
                            </w:r>
                            <w:r w:rsidR="009F024F">
                              <w:rPr>
                                <w:noProof/>
                              </w:rPr>
                              <w:t>(Imports+Exports)/GDP, 2010</w:t>
                            </w:r>
                            <w:r w:rsidR="00D27986">
                              <w:rPr>
                                <w:noProof/>
                              </w:rPr>
                              <w:t>, select EU countries</w:t>
                            </w:r>
                          </w:p>
                          <w:p w14:paraId="7550C5D3" w14:textId="77777777" w:rsidR="009F024F" w:rsidRPr="009F024F" w:rsidRDefault="009F024F" w:rsidP="009F024F"/>
                          <w:p w14:paraId="7A7145AC" w14:textId="77777777" w:rsidR="009F024F" w:rsidRPr="009F024F" w:rsidRDefault="009F024F" w:rsidP="009F024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62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1.5pt;margin-top:3.35pt;width:328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" stroked="f">
                <v:textbox inset="0,0,0,0">
                  <w:txbxContent>
                    <w:p w14:paraId="21F6ED77" w14:textId="6774C460" w:rsidR="00AE0B69" w:rsidRDefault="00AE0B69" w:rsidP="00F820A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9F024F">
                        <w:rPr>
                          <w:b/>
                          <w:bCs/>
                        </w:rPr>
                        <w:t xml:space="preserve">Table </w:t>
                      </w:r>
                      <w:r w:rsidRPr="009F024F">
                        <w:rPr>
                          <w:b/>
                          <w:bCs/>
                        </w:rPr>
                        <w:fldChar w:fldCharType="begin"/>
                      </w:r>
                      <w:r w:rsidRPr="009F024F">
                        <w:rPr>
                          <w:b/>
                          <w:bCs/>
                        </w:rPr>
                        <w:instrText xml:space="preserve"> SEQ Table \* ARABIC </w:instrText>
                      </w:r>
                      <w:r w:rsidRPr="009F024F">
                        <w:rPr>
                          <w:b/>
                          <w:bCs/>
                        </w:rPr>
                        <w:fldChar w:fldCharType="separate"/>
                      </w:r>
                      <w:r w:rsidR="00FE4A92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9F024F"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  <w:r w:rsidR="004F6633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 w:rsidR="004F6633">
                        <w:rPr>
                          <w:noProof/>
                        </w:rPr>
                        <w:t>Trade Openness Index</w:t>
                      </w:r>
                      <w:r w:rsidR="003F258D">
                        <w:rPr>
                          <w:noProof/>
                        </w:rPr>
                        <w:t xml:space="preserve"> </w:t>
                      </w:r>
                      <w:r w:rsidR="009F024F">
                        <w:rPr>
                          <w:noProof/>
                        </w:rPr>
                        <w:t>(Imports+Exports)/GDP, 2010</w:t>
                      </w:r>
                      <w:r w:rsidR="00D27986">
                        <w:rPr>
                          <w:noProof/>
                        </w:rPr>
                        <w:t>, select EU countries</w:t>
                      </w:r>
                    </w:p>
                    <w:p w14:paraId="7550C5D3" w14:textId="77777777" w:rsidR="009F024F" w:rsidRPr="009F024F" w:rsidRDefault="009F024F" w:rsidP="009F024F"/>
                    <w:p w14:paraId="7A7145AC" w14:textId="77777777" w:rsidR="009F024F" w:rsidRPr="009F024F" w:rsidRDefault="009F024F" w:rsidP="009F024F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81"/>
        <w:tblW w:w="3955" w:type="dxa"/>
        <w:tblLook w:val="04A0" w:firstRow="1" w:lastRow="0" w:firstColumn="1" w:lastColumn="0" w:noHBand="0" w:noVBand="1"/>
      </w:tblPr>
      <w:tblGrid>
        <w:gridCol w:w="2155"/>
        <w:gridCol w:w="1800"/>
      </w:tblGrid>
      <w:tr w:rsidR="00945AA4" w:rsidRPr="003F258D" w14:paraId="44F40EE8" w14:textId="77777777" w:rsidTr="00945AA4">
        <w:trPr>
          <w:trHeight w:val="28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hideMark/>
          </w:tcPr>
          <w:p w14:paraId="1FAF4B1F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Country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hideMark/>
          </w:tcPr>
          <w:p w14:paraId="22E1A141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Trade (% of GDP)</w:t>
            </w:r>
          </w:p>
        </w:tc>
      </w:tr>
      <w:tr w:rsidR="00945AA4" w:rsidRPr="003F258D" w14:paraId="367912DD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CC161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Austria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A40B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99.02</w:t>
            </w:r>
          </w:p>
        </w:tc>
      </w:tr>
      <w:tr w:rsidR="00945AA4" w:rsidRPr="003F258D" w14:paraId="348BBC25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56C18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Belgium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BD51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150</w:t>
            </w:r>
          </w:p>
        </w:tc>
      </w:tr>
      <w:tr w:rsidR="00945AA4" w:rsidRPr="003F258D" w14:paraId="73E41635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DAA9C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France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1456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54.87</w:t>
            </w:r>
          </w:p>
        </w:tc>
      </w:tr>
      <w:tr w:rsidR="00945AA4" w:rsidRPr="003F258D" w14:paraId="3CD90231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4EFD6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Germany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8C87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79.87</w:t>
            </w:r>
          </w:p>
        </w:tc>
      </w:tr>
      <w:tr w:rsidR="00945AA4" w:rsidRPr="003F258D" w14:paraId="1EBCDEDB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5E1E6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Italy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150F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52.01</w:t>
            </w:r>
          </w:p>
        </w:tc>
      </w:tr>
      <w:tr w:rsidR="00945AA4" w:rsidRPr="003F258D" w14:paraId="2DDD91FF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E3B71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Luxembourg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4D9E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293.67</w:t>
            </w:r>
          </w:p>
        </w:tc>
      </w:tr>
      <w:tr w:rsidR="00945AA4" w:rsidRPr="003F258D" w14:paraId="639DA4D8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6B72F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Malta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4DDB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301.84</w:t>
            </w:r>
          </w:p>
        </w:tc>
      </w:tr>
      <w:tr w:rsidR="00945AA4" w:rsidRPr="003F258D" w14:paraId="4C8D02CF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9EDF4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Slovakia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6A4E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153.45</w:t>
            </w:r>
          </w:p>
        </w:tc>
      </w:tr>
      <w:tr w:rsidR="00945AA4" w:rsidRPr="003F258D" w14:paraId="0F457723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19C2F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Spain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A0E0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52.93</w:t>
            </w:r>
          </w:p>
        </w:tc>
      </w:tr>
      <w:tr w:rsidR="00945AA4" w:rsidRPr="003F258D" w14:paraId="55BCF568" w14:textId="77777777" w:rsidTr="00945AA4">
        <w:trPr>
          <w:trHeight w:val="28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8314F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United Kingdom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9B5D" w14:textId="77777777" w:rsidR="00945AA4" w:rsidRPr="003F258D" w:rsidRDefault="00945AA4" w:rsidP="009718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3F258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59.27</w:t>
            </w:r>
          </w:p>
        </w:tc>
      </w:tr>
    </w:tbl>
    <w:p w14:paraId="71246BA1" w14:textId="5AAF429F" w:rsidR="000D195E" w:rsidRDefault="000D195E" w:rsidP="0097185D">
      <w:pPr>
        <w:jc w:val="center"/>
        <w:rPr>
          <w:rFonts w:ascii="Gill Sans MT" w:hAnsi="Gill Sans MT"/>
          <w:sz w:val="22"/>
          <w:szCs w:val="22"/>
        </w:rPr>
      </w:pPr>
    </w:p>
    <w:p w14:paraId="74107A44" w14:textId="30B203D5" w:rsidR="00D11BBF" w:rsidRDefault="00D11BBF" w:rsidP="0097185D">
      <w:pPr>
        <w:jc w:val="center"/>
        <w:rPr>
          <w:rFonts w:ascii="Gill Sans MT" w:hAnsi="Gill Sans MT"/>
          <w:sz w:val="22"/>
          <w:szCs w:val="22"/>
        </w:rPr>
      </w:pPr>
    </w:p>
    <w:p w14:paraId="0745E320" w14:textId="5AD940C3" w:rsidR="000D195E" w:rsidRDefault="000D195E" w:rsidP="0097185D">
      <w:pPr>
        <w:jc w:val="center"/>
        <w:rPr>
          <w:rFonts w:ascii="Gill Sans MT" w:hAnsi="Gill Sans MT"/>
          <w:sz w:val="22"/>
          <w:szCs w:val="22"/>
        </w:rPr>
      </w:pPr>
    </w:p>
    <w:p w14:paraId="3354C549" w14:textId="123F0A07" w:rsidR="000D195E" w:rsidRPr="00002AA4" w:rsidRDefault="000D195E" w:rsidP="0097185D">
      <w:pPr>
        <w:jc w:val="center"/>
        <w:rPr>
          <w:rFonts w:ascii="Gill Sans MT" w:hAnsi="Gill Sans MT"/>
          <w:sz w:val="22"/>
          <w:szCs w:val="22"/>
        </w:rPr>
      </w:pPr>
    </w:p>
    <w:p w14:paraId="17BA6F32" w14:textId="2C441F1A" w:rsidR="00C00CED" w:rsidRDefault="00C00CED" w:rsidP="0097185D">
      <w:pPr>
        <w:jc w:val="center"/>
        <w:rPr>
          <w:rFonts w:ascii="Gill Sans MT" w:hAnsi="Gill Sans MT"/>
          <w:sz w:val="22"/>
          <w:szCs w:val="22"/>
        </w:rPr>
      </w:pPr>
    </w:p>
    <w:p w14:paraId="12DC075E" w14:textId="77777777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64FBC2CE" w14:textId="77777777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61B8D4EB" w14:textId="77777777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796E61E1" w14:textId="77777777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1EA332FD" w14:textId="77777777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580410B2" w14:textId="77777777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638E0B72" w14:textId="77777777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24F07B75" w14:textId="77777777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474C7A48" w14:textId="632B386F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6A1F2011" w14:textId="4C69F459" w:rsidR="008A4F3C" w:rsidRPr="008A4F3C" w:rsidRDefault="00F815F0" w:rsidP="0097185D">
      <w:pPr>
        <w:jc w:val="center"/>
        <w:rPr>
          <w:rFonts w:ascii="Gill Sans MT" w:hAnsi="Gill Sans M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BADC9" wp14:editId="47762B15">
                <wp:simplePos x="0" y="0"/>
                <wp:positionH relativeFrom="margin">
                  <wp:align>center</wp:align>
                </wp:positionH>
                <wp:positionV relativeFrom="paragraph">
                  <wp:posOffset>14783</wp:posOffset>
                </wp:positionV>
                <wp:extent cx="6001594" cy="431622"/>
                <wp:effectExtent l="0" t="0" r="0" b="6985"/>
                <wp:wrapNone/>
                <wp:docPr id="7647557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594" cy="43162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C98E1" w14:textId="7820FCE5" w:rsidR="009F024F" w:rsidRPr="009F024F" w:rsidRDefault="009F024F" w:rsidP="009F024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Source</w:t>
                            </w:r>
                            <w:r w:rsidR="00A605E2">
                              <w:t>:</w:t>
                            </w:r>
                            <w:r w:rsidR="00424910">
                              <w:t xml:space="preserve"> </w:t>
                            </w:r>
                            <w:r w:rsidR="00A605E2">
                              <w:t>‘</w:t>
                            </w:r>
                            <w:r>
                              <w:t>Multiple Sources compiled by World Bank (2024)</w:t>
                            </w:r>
                            <w:r w:rsidR="00A605E2">
                              <w:t>’</w:t>
                            </w:r>
                            <w:r>
                              <w:t xml:space="preserve"> – processed </w:t>
                            </w:r>
                            <w:r w:rsidR="000C32A5">
                              <w:t>by Our World in Data</w:t>
                            </w:r>
                          </w:p>
                          <w:p w14:paraId="7141C9A6" w14:textId="77777777" w:rsidR="009F024F" w:rsidRPr="009F024F" w:rsidRDefault="009F024F" w:rsidP="009F024F"/>
                          <w:p w14:paraId="03E1E450" w14:textId="77777777" w:rsidR="009F024F" w:rsidRPr="009F024F" w:rsidRDefault="009F024F" w:rsidP="009F024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ADC9" id="_x0000_s1027" type="#_x0000_t202" style="position:absolute;left:0;text-align:left;margin-left:0;margin-top:1.15pt;width:472.55pt;height:3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" stroked="f">
                <v:textbox inset="0,0,0,0">
                  <w:txbxContent>
                    <w:p w14:paraId="2FBC98E1" w14:textId="7820FCE5" w:rsidR="009F024F" w:rsidRPr="009F024F" w:rsidRDefault="009F024F" w:rsidP="009F024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Source</w:t>
                      </w:r>
                      <w:r w:rsidR="00A605E2">
                        <w:t>:</w:t>
                      </w:r>
                      <w:r w:rsidR="00424910">
                        <w:t xml:space="preserve"> </w:t>
                      </w:r>
                      <w:r w:rsidR="00A605E2">
                        <w:t>‘</w:t>
                      </w:r>
                      <w:r>
                        <w:t>Multiple Sources compiled by World Bank (2024)</w:t>
                      </w:r>
                      <w:r w:rsidR="00A605E2">
                        <w:t>’</w:t>
                      </w:r>
                      <w:r>
                        <w:t xml:space="preserve"> – processed </w:t>
                      </w:r>
                      <w:r w:rsidR="000C32A5">
                        <w:t>by Our World in Data</w:t>
                      </w:r>
                    </w:p>
                    <w:p w14:paraId="7141C9A6" w14:textId="77777777" w:rsidR="009F024F" w:rsidRPr="009F024F" w:rsidRDefault="009F024F" w:rsidP="009F024F"/>
                    <w:p w14:paraId="03E1E450" w14:textId="77777777" w:rsidR="009F024F" w:rsidRPr="009F024F" w:rsidRDefault="009F024F" w:rsidP="009F024F"/>
                  </w:txbxContent>
                </v:textbox>
                <w10:wrap anchorx="margin"/>
              </v:shape>
            </w:pict>
          </mc:Fallback>
        </mc:AlternateContent>
      </w:r>
    </w:p>
    <w:p w14:paraId="6AFE1DE4" w14:textId="0400FC6C" w:rsidR="008A4F3C" w:rsidRP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24717EE9" w14:textId="09B2202F" w:rsidR="008A4F3C" w:rsidRDefault="00F815F0" w:rsidP="0097185D">
      <w:pPr>
        <w:jc w:val="center"/>
        <w:rPr>
          <w:rFonts w:ascii="Gill Sans MT" w:hAnsi="Gill Sans M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25FC4" wp14:editId="7B226072">
                <wp:simplePos x="0" y="0"/>
                <wp:positionH relativeFrom="column">
                  <wp:posOffset>2578735</wp:posOffset>
                </wp:positionH>
                <wp:positionV relativeFrom="paragraph">
                  <wp:posOffset>123190</wp:posOffset>
                </wp:positionV>
                <wp:extent cx="571500" cy="227198"/>
                <wp:effectExtent l="0" t="0" r="0" b="1905"/>
                <wp:wrapNone/>
                <wp:docPr id="136054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719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8CF87" w14:textId="6E7B2A6F" w:rsidR="006A68A6" w:rsidRPr="00F815F0" w:rsidRDefault="006A68A6" w:rsidP="006A68A6">
                            <w:pPr>
                              <w:pStyle w:val="Caption"/>
                              <w:jc w:val="center"/>
                              <w:rPr>
                                <w:rFonts w:ascii="Gill Sans MT" w:hAnsi="Gill Sans MT"/>
                                <w:sz w:val="22"/>
                                <w:szCs w:val="22"/>
                              </w:rPr>
                            </w:pPr>
                            <w:r w:rsidRPr="00F815F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C23E2F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="00C23E2F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="00C23E2F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FE4A92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="00C23E2F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="00F815F0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5FC4" id="_x0000_s1028" type="#_x0000_t202" style="position:absolute;left:0;text-align:left;margin-left:203.05pt;margin-top:9.7pt;width:45pt;height:1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" stroked="f">
                <v:textbox inset="0,0,0,0">
                  <w:txbxContent>
                    <w:p w14:paraId="06B8CF87" w14:textId="6E7B2A6F" w:rsidR="006A68A6" w:rsidRPr="00F815F0" w:rsidRDefault="006A68A6" w:rsidP="006A68A6">
                      <w:pPr>
                        <w:pStyle w:val="Caption"/>
                        <w:jc w:val="center"/>
                        <w:rPr>
                          <w:rFonts w:ascii="Gill Sans MT" w:hAnsi="Gill Sans MT"/>
                          <w:sz w:val="22"/>
                          <w:szCs w:val="22"/>
                        </w:rPr>
                      </w:pPr>
                      <w:r w:rsidRPr="00F815F0">
                        <w:rPr>
                          <w:b/>
                          <w:bCs/>
                        </w:rPr>
                        <w:t xml:space="preserve">Figure </w:t>
                      </w:r>
                      <w:r w:rsidR="00C23E2F">
                        <w:rPr>
                          <w:b/>
                          <w:bCs/>
                        </w:rPr>
                        <w:fldChar w:fldCharType="begin"/>
                      </w:r>
                      <w:r w:rsidR="00C23E2F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="00C23E2F">
                        <w:rPr>
                          <w:b/>
                          <w:bCs/>
                        </w:rPr>
                        <w:fldChar w:fldCharType="separate"/>
                      </w:r>
                      <w:r w:rsidR="00FE4A92">
                        <w:rPr>
                          <w:b/>
                          <w:bCs/>
                          <w:noProof/>
                        </w:rPr>
                        <w:t>1</w:t>
                      </w:r>
                      <w:r w:rsidR="00C23E2F">
                        <w:rPr>
                          <w:b/>
                          <w:bCs/>
                        </w:rPr>
                        <w:fldChar w:fldCharType="end"/>
                      </w:r>
                      <w:r w:rsidR="00F815F0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4D7BFC4" w14:textId="11896885" w:rsidR="00F815F0" w:rsidRDefault="002F222B" w:rsidP="0097185D">
      <w:pPr>
        <w:jc w:val="center"/>
        <w:rPr>
          <w:rFonts w:ascii="Gill Sans MT" w:hAnsi="Gill Sans MT"/>
          <w:noProof/>
          <w:sz w:val="22"/>
          <w:szCs w:val="22"/>
        </w:rPr>
      </w:pPr>
      <w:r w:rsidRPr="002F222B">
        <w:rPr>
          <w:rFonts w:ascii="Gill Sans MT" w:hAnsi="Gill Sans MT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77F237EF" wp14:editId="5F7B67B1">
            <wp:simplePos x="0" y="0"/>
            <wp:positionH relativeFrom="margin">
              <wp:align>center</wp:align>
            </wp:positionH>
            <wp:positionV relativeFrom="paragraph">
              <wp:posOffset>202988</wp:posOffset>
            </wp:positionV>
            <wp:extent cx="6794500" cy="3371541"/>
            <wp:effectExtent l="0" t="0" r="6350" b="635"/>
            <wp:wrapNone/>
            <wp:docPr id="1421078146" name="Picture 1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8146" name="Picture 1" descr="A graph showing a line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37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911BB" w14:textId="19649029" w:rsidR="002F222B" w:rsidRDefault="002F222B" w:rsidP="0097185D">
      <w:pPr>
        <w:jc w:val="center"/>
        <w:rPr>
          <w:rFonts w:ascii="Gill Sans MT" w:hAnsi="Gill Sans MT"/>
          <w:sz w:val="22"/>
          <w:szCs w:val="22"/>
        </w:rPr>
      </w:pPr>
    </w:p>
    <w:p w14:paraId="75E84B73" w14:textId="1138302A" w:rsidR="008A4F3C" w:rsidRDefault="008A4F3C" w:rsidP="0097185D">
      <w:pPr>
        <w:jc w:val="center"/>
        <w:rPr>
          <w:rFonts w:ascii="Gill Sans MT" w:hAnsi="Gill Sans MT"/>
          <w:sz w:val="22"/>
          <w:szCs w:val="22"/>
        </w:rPr>
      </w:pPr>
    </w:p>
    <w:p w14:paraId="76592777" w14:textId="18128E89" w:rsidR="008A4F3C" w:rsidRDefault="008A4F3C" w:rsidP="0097185D">
      <w:pPr>
        <w:tabs>
          <w:tab w:val="left" w:pos="3267"/>
        </w:tabs>
        <w:jc w:val="center"/>
        <w:rPr>
          <w:rFonts w:ascii="Gill Sans MT" w:hAnsi="Gill Sans MT"/>
          <w:sz w:val="22"/>
          <w:szCs w:val="22"/>
        </w:rPr>
      </w:pPr>
    </w:p>
    <w:p w14:paraId="53CCD04E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4C1D7C63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1A59F15B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47AD9AA4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5F9E09A0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682DEFEA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21AF1EA8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38D20C58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70D07522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62F049BF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32172A47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3405D4AC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01EB2484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3E093006" w14:textId="77777777" w:rsid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495528EB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6608A5AF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64610720" w14:textId="77777777" w:rsidR="00E6411D" w:rsidRP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3FDF9788" w14:textId="37F2C8A3" w:rsidR="00E6411D" w:rsidRDefault="00ED7B35" w:rsidP="0097185D">
      <w:pPr>
        <w:jc w:val="center"/>
        <w:rPr>
          <w:rFonts w:ascii="Gill Sans MT" w:hAnsi="Gill Sans M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F11A1" wp14:editId="1D4E9FCF">
                <wp:simplePos x="0" y="0"/>
                <wp:positionH relativeFrom="margin">
                  <wp:align>center</wp:align>
                </wp:positionH>
                <wp:positionV relativeFrom="paragraph">
                  <wp:posOffset>161548</wp:posOffset>
                </wp:positionV>
                <wp:extent cx="4963657" cy="245533"/>
                <wp:effectExtent l="0" t="0" r="8890" b="2540"/>
                <wp:wrapNone/>
                <wp:docPr id="1242482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657" cy="2455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10053" w14:textId="44E945D1" w:rsidR="00E6411D" w:rsidRPr="009F024F" w:rsidRDefault="00E6411D" w:rsidP="00E6411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Source:</w:t>
                            </w:r>
                            <w:r w:rsidR="00424910">
                              <w:t xml:space="preserve"> raw data downloaded from</w:t>
                            </w:r>
                            <w:r>
                              <w:t xml:space="preserve"> </w:t>
                            </w:r>
                            <w:r w:rsidR="00ED7B35" w:rsidRPr="00ED7B35">
                              <w:t>www.macrotrends.net</w:t>
                            </w:r>
                          </w:p>
                          <w:p w14:paraId="25166FFB" w14:textId="77777777" w:rsidR="00E6411D" w:rsidRPr="009F024F" w:rsidRDefault="00E6411D" w:rsidP="00E6411D"/>
                          <w:p w14:paraId="68D2C586" w14:textId="77777777" w:rsidR="00E6411D" w:rsidRPr="009F024F" w:rsidRDefault="00E6411D" w:rsidP="00E6411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11A1" id="_x0000_s1029" type="#_x0000_t202" style="position:absolute;left:0;text-align:left;margin-left:0;margin-top:12.7pt;width:390.85pt;height:19.3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" stroked="f">
                <v:textbox inset="0,0,0,0">
                  <w:txbxContent>
                    <w:p w14:paraId="78210053" w14:textId="44E945D1" w:rsidR="00E6411D" w:rsidRPr="009F024F" w:rsidRDefault="00E6411D" w:rsidP="00E6411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Source:</w:t>
                      </w:r>
                      <w:r w:rsidR="00424910">
                        <w:t xml:space="preserve"> raw data downloaded from</w:t>
                      </w:r>
                      <w:r>
                        <w:t xml:space="preserve"> </w:t>
                      </w:r>
                      <w:r w:rsidR="00ED7B35" w:rsidRPr="00ED7B35">
                        <w:t>www.macrotrends.net</w:t>
                      </w:r>
                    </w:p>
                    <w:p w14:paraId="25166FFB" w14:textId="77777777" w:rsidR="00E6411D" w:rsidRPr="009F024F" w:rsidRDefault="00E6411D" w:rsidP="00E6411D"/>
                    <w:p w14:paraId="68D2C586" w14:textId="77777777" w:rsidR="00E6411D" w:rsidRPr="009F024F" w:rsidRDefault="00E6411D" w:rsidP="00E6411D"/>
                  </w:txbxContent>
                </v:textbox>
                <w10:wrap anchorx="margin"/>
              </v:shape>
            </w:pict>
          </mc:Fallback>
        </mc:AlternateContent>
      </w:r>
    </w:p>
    <w:p w14:paraId="48F8A948" w14:textId="3D7E78F3" w:rsidR="00E6411D" w:rsidRDefault="00E6411D" w:rsidP="0097185D">
      <w:pPr>
        <w:jc w:val="center"/>
        <w:rPr>
          <w:rFonts w:ascii="Gill Sans MT" w:hAnsi="Gill Sans MT"/>
          <w:sz w:val="22"/>
          <w:szCs w:val="22"/>
        </w:rPr>
      </w:pPr>
    </w:p>
    <w:p w14:paraId="6A030711" w14:textId="37E3F820" w:rsidR="00E6411D" w:rsidRDefault="00E6411D" w:rsidP="0097185D">
      <w:pPr>
        <w:tabs>
          <w:tab w:val="left" w:pos="2547"/>
          <w:tab w:val="left" w:pos="2987"/>
          <w:tab w:val="center" w:pos="4510"/>
        </w:tabs>
        <w:jc w:val="center"/>
        <w:rPr>
          <w:rFonts w:ascii="Gill Sans MT" w:hAnsi="Gill Sans MT"/>
          <w:sz w:val="22"/>
          <w:szCs w:val="22"/>
        </w:rPr>
      </w:pPr>
    </w:p>
    <w:p w14:paraId="7EB0DA0D" w14:textId="23B960F3" w:rsidR="0030544E" w:rsidRDefault="00EF066E" w:rsidP="0097185D">
      <w:pPr>
        <w:tabs>
          <w:tab w:val="left" w:pos="2547"/>
          <w:tab w:val="left" w:pos="2987"/>
          <w:tab w:val="center" w:pos="4510"/>
        </w:tabs>
        <w:jc w:val="center"/>
        <w:rPr>
          <w:rFonts w:ascii="Gill Sans MT" w:hAnsi="Gill Sans MT"/>
          <w:sz w:val="22"/>
          <w:szCs w:val="22"/>
        </w:rPr>
      </w:pPr>
      <w:r w:rsidRPr="00EF066E">
        <w:rPr>
          <w:rFonts w:ascii="Gill Sans MT" w:hAnsi="Gill Sans MT"/>
          <w:noProof/>
          <w:sz w:val="22"/>
          <w:szCs w:val="22"/>
        </w:rPr>
        <w:lastRenderedPageBreak/>
        <w:drawing>
          <wp:anchor distT="0" distB="0" distL="114300" distR="114300" simplePos="0" relativeHeight="251683840" behindDoc="0" locked="0" layoutInCell="1" allowOverlap="1" wp14:anchorId="76E600B4" wp14:editId="5E9DAC14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329680" cy="3599815"/>
            <wp:effectExtent l="0" t="0" r="0" b="635"/>
            <wp:wrapThrough wrapText="bothSides">
              <wp:wrapPolygon edited="0">
                <wp:start x="0" y="0"/>
                <wp:lineTo x="0" y="21490"/>
                <wp:lineTo x="21518" y="21490"/>
                <wp:lineTo x="21518" y="0"/>
                <wp:lineTo x="0" y="0"/>
              </wp:wrapPolygon>
            </wp:wrapThrough>
            <wp:docPr id="707455717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55717" name="Picture 1" descr="A graph with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AB6C2" wp14:editId="32D2223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2968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518" y="19800"/>
                    <wp:lineTo x="21518" y="0"/>
                    <wp:lineTo x="0" y="0"/>
                  </wp:wrapPolygon>
                </wp:wrapThrough>
                <wp:docPr id="5532497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68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08652" w14:textId="1695E4E6" w:rsidR="00EF066E" w:rsidRPr="00EF066E" w:rsidRDefault="00EF066E" w:rsidP="00EF066E">
                            <w:pPr>
                              <w:pStyle w:val="Caption"/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066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EF066E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EF066E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EF066E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FE4A92">
                              <w:rPr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EF066E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B6C2" id="_x0000_s1030" type="#_x0000_t202" style="position:absolute;left:0;text-align:left;margin-left:0;margin-top:0;width:498.4pt;height:18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" stroked="f">
                <v:textbox inset="0,0,0,0">
                  <w:txbxContent>
                    <w:p w14:paraId="60308652" w14:textId="1695E4E6" w:rsidR="00EF066E" w:rsidRPr="00EF066E" w:rsidRDefault="00EF066E" w:rsidP="00EF066E">
                      <w:pPr>
                        <w:pStyle w:val="Caption"/>
                        <w:jc w:val="center"/>
                        <w:rPr>
                          <w:rFonts w:ascii="Gill Sans MT" w:hAnsi="Gill Sans MT"/>
                          <w:b/>
                          <w:bCs/>
                          <w:sz w:val="22"/>
                          <w:szCs w:val="22"/>
                        </w:rPr>
                      </w:pPr>
                      <w:r w:rsidRPr="00EF066E">
                        <w:rPr>
                          <w:b/>
                          <w:bCs/>
                        </w:rPr>
                        <w:t xml:space="preserve">Figure </w:t>
                      </w:r>
                      <w:r w:rsidRPr="00EF066E">
                        <w:rPr>
                          <w:b/>
                          <w:bCs/>
                        </w:rPr>
                        <w:fldChar w:fldCharType="begin"/>
                      </w:r>
                      <w:r w:rsidRPr="00EF066E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EF066E">
                        <w:rPr>
                          <w:b/>
                          <w:bCs/>
                        </w:rPr>
                        <w:fldChar w:fldCharType="separate"/>
                      </w:r>
                      <w:r w:rsidR="00FE4A92">
                        <w:rPr>
                          <w:b/>
                          <w:bCs/>
                          <w:noProof/>
                        </w:rPr>
                        <w:t>2</w:t>
                      </w:r>
                      <w:r w:rsidRPr="00EF066E"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AF6AEE6" w14:textId="0525871C" w:rsidR="0030544E" w:rsidRPr="0030544E" w:rsidRDefault="0030544E" w:rsidP="0097185D">
      <w:pPr>
        <w:jc w:val="center"/>
        <w:rPr>
          <w:rFonts w:ascii="Gill Sans MT" w:hAnsi="Gill Sans MT"/>
          <w:sz w:val="22"/>
          <w:szCs w:val="22"/>
        </w:rPr>
      </w:pPr>
    </w:p>
    <w:p w14:paraId="7C8E3DD6" w14:textId="546DB24F" w:rsidR="0030544E" w:rsidRPr="0030544E" w:rsidRDefault="0030544E" w:rsidP="0097185D">
      <w:pPr>
        <w:jc w:val="center"/>
        <w:rPr>
          <w:rFonts w:ascii="Gill Sans MT" w:hAnsi="Gill Sans MT"/>
          <w:sz w:val="22"/>
          <w:szCs w:val="22"/>
        </w:rPr>
      </w:pPr>
    </w:p>
    <w:p w14:paraId="7A7182D1" w14:textId="29A493DD" w:rsidR="0030544E" w:rsidRPr="0030544E" w:rsidRDefault="00EF066E" w:rsidP="0097185D">
      <w:pPr>
        <w:jc w:val="center"/>
        <w:rPr>
          <w:rFonts w:ascii="Gill Sans MT" w:hAnsi="Gill Sans M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9BC73" wp14:editId="3D938EC9">
                <wp:simplePos x="0" y="0"/>
                <wp:positionH relativeFrom="margin">
                  <wp:posOffset>-294640</wp:posOffset>
                </wp:positionH>
                <wp:positionV relativeFrom="paragraph">
                  <wp:posOffset>198755</wp:posOffset>
                </wp:positionV>
                <wp:extent cx="6329045" cy="233045"/>
                <wp:effectExtent l="0" t="0" r="0" b="0"/>
                <wp:wrapNone/>
                <wp:docPr id="1690486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0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101EE" w14:textId="6053B066" w:rsidR="00EF066E" w:rsidRPr="00EF066E" w:rsidRDefault="00EF066E" w:rsidP="00EF066E">
                            <w:pPr>
                              <w:pStyle w:val="Caption"/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F066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EF066E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EF066E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EF066E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FE4A92">
                              <w:rPr>
                                <w:b/>
                                <w:bCs/>
                                <w:noProof/>
                              </w:rPr>
                              <w:t>3</w:t>
                            </w:r>
                            <w:r w:rsidRPr="00EF066E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BC73" id="_x0000_s1031" type="#_x0000_t202" style="position:absolute;left:0;text-align:left;margin-left:-23.2pt;margin-top:15.65pt;width:498.35pt;height:18.3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" stroked="f">
                <v:textbox inset="0,0,0,0">
                  <w:txbxContent>
                    <w:p w14:paraId="692101EE" w14:textId="6053B066" w:rsidR="00EF066E" w:rsidRPr="00EF066E" w:rsidRDefault="00EF066E" w:rsidP="00EF066E">
                      <w:pPr>
                        <w:pStyle w:val="Caption"/>
                        <w:jc w:val="center"/>
                        <w:rPr>
                          <w:rFonts w:ascii="Gill Sans MT" w:hAnsi="Gill Sans MT"/>
                          <w:b/>
                          <w:bCs/>
                          <w:sz w:val="22"/>
                          <w:szCs w:val="22"/>
                        </w:rPr>
                      </w:pPr>
                      <w:r w:rsidRPr="00EF066E">
                        <w:rPr>
                          <w:b/>
                          <w:bCs/>
                        </w:rPr>
                        <w:t xml:space="preserve">Figure </w:t>
                      </w:r>
                      <w:r w:rsidRPr="00EF066E">
                        <w:rPr>
                          <w:b/>
                          <w:bCs/>
                        </w:rPr>
                        <w:fldChar w:fldCharType="begin"/>
                      </w:r>
                      <w:r w:rsidRPr="00EF066E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EF066E">
                        <w:rPr>
                          <w:b/>
                          <w:bCs/>
                        </w:rPr>
                        <w:fldChar w:fldCharType="separate"/>
                      </w:r>
                      <w:r w:rsidR="00FE4A92">
                        <w:rPr>
                          <w:b/>
                          <w:bCs/>
                          <w:noProof/>
                        </w:rPr>
                        <w:t>3</w:t>
                      </w:r>
                      <w:r w:rsidRPr="00EF066E"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066E">
        <w:rPr>
          <w:rFonts w:ascii="Gill Sans MT" w:hAnsi="Gill Sans MT"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2B0B1017" wp14:editId="26892084">
            <wp:simplePos x="0" y="0"/>
            <wp:positionH relativeFrom="margin">
              <wp:align>center</wp:align>
            </wp:positionH>
            <wp:positionV relativeFrom="paragraph">
              <wp:posOffset>425651</wp:posOffset>
            </wp:positionV>
            <wp:extent cx="6329045" cy="3599815"/>
            <wp:effectExtent l="0" t="0" r="0" b="635"/>
            <wp:wrapThrough wrapText="bothSides">
              <wp:wrapPolygon edited="0">
                <wp:start x="0" y="0"/>
                <wp:lineTo x="0" y="21490"/>
                <wp:lineTo x="21520" y="21490"/>
                <wp:lineTo x="21520" y="0"/>
                <wp:lineTo x="0" y="0"/>
              </wp:wrapPolygon>
            </wp:wrapThrough>
            <wp:docPr id="337169559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69559" name="Picture 1" descr="A graph with blue and orang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3F194" w14:textId="24CB6313" w:rsidR="0030544E" w:rsidRPr="0030544E" w:rsidRDefault="0030544E" w:rsidP="0097185D">
      <w:pPr>
        <w:jc w:val="center"/>
        <w:rPr>
          <w:rFonts w:ascii="Gill Sans MT" w:hAnsi="Gill Sans MT"/>
          <w:sz w:val="22"/>
          <w:szCs w:val="22"/>
        </w:rPr>
      </w:pPr>
    </w:p>
    <w:p w14:paraId="159FB8F9" w14:textId="77D8EAA9" w:rsidR="00C23E2F" w:rsidRPr="00C23E2F" w:rsidRDefault="00C23E2F" w:rsidP="00EF066E">
      <w:pPr>
        <w:rPr>
          <w:rFonts w:ascii="Gill Sans MT" w:hAnsi="Gill Sans MT"/>
          <w:sz w:val="22"/>
          <w:szCs w:val="22"/>
        </w:rPr>
      </w:pPr>
    </w:p>
    <w:sectPr w:rsidR="00C23E2F" w:rsidRPr="00C23E2F" w:rsidSect="00B93CC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DEE31" w14:textId="77777777" w:rsidR="00F87A4E" w:rsidRDefault="00F87A4E" w:rsidP="00122FAB">
      <w:r>
        <w:separator/>
      </w:r>
    </w:p>
  </w:endnote>
  <w:endnote w:type="continuationSeparator" w:id="0">
    <w:p w14:paraId="1636EAE5" w14:textId="77777777" w:rsidR="00F87A4E" w:rsidRDefault="00F87A4E" w:rsidP="00122FAB">
      <w:r>
        <w:continuationSeparator/>
      </w:r>
    </w:p>
  </w:endnote>
  <w:endnote w:type="continuationNotice" w:id="1">
    <w:p w14:paraId="085F1809" w14:textId="77777777" w:rsidR="00F87A4E" w:rsidRDefault="00F87A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978215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BEE3EA" w14:textId="3397E109" w:rsidR="00122FAB" w:rsidRDefault="00122FAB" w:rsidP="00C321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B4CAC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6B75A2A" w14:textId="77777777" w:rsidR="00122FAB" w:rsidRDefault="00122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Gill Sans MT" w:hAnsi="Gill Sans MT"/>
      </w:rPr>
      <w:id w:val="-1821955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63D266" w14:textId="21182975" w:rsidR="00122FAB" w:rsidRPr="005259AF" w:rsidRDefault="00122FAB" w:rsidP="00C32151">
        <w:pPr>
          <w:pStyle w:val="Footer"/>
          <w:framePr w:wrap="none" w:vAnchor="text" w:hAnchor="margin" w:xAlign="center" w:y="1"/>
          <w:rPr>
            <w:rStyle w:val="PageNumber"/>
            <w:rFonts w:ascii="Gill Sans MT" w:hAnsi="Gill Sans MT"/>
          </w:rPr>
        </w:pPr>
        <w:r w:rsidRPr="005259AF">
          <w:rPr>
            <w:rStyle w:val="PageNumber"/>
            <w:rFonts w:ascii="Gill Sans MT" w:hAnsi="Gill Sans MT"/>
          </w:rPr>
          <w:fldChar w:fldCharType="begin"/>
        </w:r>
        <w:r w:rsidRPr="005259AF">
          <w:rPr>
            <w:rStyle w:val="PageNumber"/>
            <w:rFonts w:ascii="Gill Sans MT" w:hAnsi="Gill Sans MT"/>
          </w:rPr>
          <w:instrText xml:space="preserve"> PAGE </w:instrText>
        </w:r>
        <w:r w:rsidRPr="005259AF">
          <w:rPr>
            <w:rStyle w:val="PageNumber"/>
            <w:rFonts w:ascii="Gill Sans MT" w:hAnsi="Gill Sans MT"/>
          </w:rPr>
          <w:fldChar w:fldCharType="separate"/>
        </w:r>
        <w:r w:rsidRPr="005259AF">
          <w:rPr>
            <w:rStyle w:val="PageNumber"/>
            <w:rFonts w:ascii="Gill Sans MT" w:hAnsi="Gill Sans MT"/>
            <w:noProof/>
          </w:rPr>
          <w:t>1</w:t>
        </w:r>
        <w:r w:rsidRPr="005259AF">
          <w:rPr>
            <w:rStyle w:val="PageNumber"/>
            <w:rFonts w:ascii="Gill Sans MT" w:hAnsi="Gill Sans MT"/>
          </w:rPr>
          <w:fldChar w:fldCharType="end"/>
        </w:r>
      </w:p>
    </w:sdtContent>
  </w:sdt>
  <w:p w14:paraId="748BBAAF" w14:textId="492F0F10" w:rsidR="00122FAB" w:rsidRPr="00122FAB" w:rsidRDefault="00122FAB">
    <w:pPr>
      <w:pStyle w:val="Footer"/>
      <w:rPr>
        <w:rFonts w:ascii="Gill Sans MT" w:hAnsi="Gill Sans MT"/>
        <w:sz w:val="16"/>
        <w:szCs w:val="16"/>
      </w:rPr>
    </w:pPr>
    <w:r w:rsidRPr="00122FAB">
      <w:rPr>
        <w:rFonts w:ascii="Gill Sans MT" w:hAnsi="Gill Sans MT"/>
        <w:sz w:val="16"/>
        <w:szCs w:val="16"/>
      </w:rPr>
      <w:t>ECON3001 Dissertation Proposal</w:t>
    </w:r>
    <w:r>
      <w:rPr>
        <w:rFonts w:ascii="Gill Sans MT" w:hAnsi="Gill Sans MT"/>
        <w:sz w:val="16"/>
        <w:szCs w:val="16"/>
      </w:rPr>
      <w:t xml:space="preserve"> Form</w:t>
    </w:r>
    <w:r w:rsidRPr="00122FAB">
      <w:rPr>
        <w:rFonts w:ascii="Gill Sans MT" w:hAnsi="Gill Sans MT"/>
        <w:sz w:val="16"/>
        <w:szCs w:val="16"/>
      </w:rPr>
      <w:tab/>
    </w:r>
    <w:r w:rsidRPr="00122FAB">
      <w:rPr>
        <w:rFonts w:ascii="Gill Sans MT" w:hAnsi="Gill Sans MT"/>
        <w:sz w:val="16"/>
        <w:szCs w:val="16"/>
      </w:rPr>
      <w:tab/>
      <w:t>v</w:t>
    </w:r>
    <w:r w:rsidR="00CB4CAC">
      <w:rPr>
        <w:rFonts w:ascii="Gill Sans MT" w:hAnsi="Gill Sans MT"/>
        <w:sz w:val="16"/>
        <w:szCs w:val="16"/>
      </w:rPr>
      <w:t>1.</w:t>
    </w:r>
    <w:r w:rsidR="00E37E41">
      <w:rPr>
        <w:rFonts w:ascii="Gill Sans MT" w:hAnsi="Gill Sans MT"/>
        <w:sz w:val="16"/>
        <w:szCs w:val="16"/>
      </w:rPr>
      <w:t>0</w:t>
    </w:r>
    <w:r w:rsidRPr="00122FAB">
      <w:rPr>
        <w:rFonts w:ascii="Gill Sans MT" w:hAnsi="Gill Sans MT"/>
        <w:sz w:val="16"/>
        <w:szCs w:val="16"/>
      </w:rPr>
      <w:t xml:space="preserve"> (</w:t>
    </w:r>
    <w:r w:rsidR="00652D5C">
      <w:rPr>
        <w:rFonts w:ascii="Gill Sans MT" w:hAnsi="Gill Sans MT"/>
        <w:sz w:val="16"/>
        <w:szCs w:val="16"/>
      </w:rPr>
      <w:t xml:space="preserve">September </w:t>
    </w:r>
    <w:r w:rsidR="00982C5F">
      <w:rPr>
        <w:rFonts w:ascii="Gill Sans MT" w:hAnsi="Gill Sans MT"/>
        <w:sz w:val="16"/>
        <w:szCs w:val="16"/>
      </w:rPr>
      <w:t>20</w:t>
    </w:r>
    <w:r w:rsidRPr="00122FAB">
      <w:rPr>
        <w:rFonts w:ascii="Gill Sans MT" w:hAnsi="Gill Sans MT"/>
        <w:sz w:val="16"/>
        <w:szCs w:val="16"/>
      </w:rPr>
      <w:t>, 202</w:t>
    </w:r>
    <w:r w:rsidR="006464FC">
      <w:rPr>
        <w:rFonts w:ascii="Gill Sans MT" w:hAnsi="Gill Sans MT"/>
        <w:sz w:val="16"/>
        <w:szCs w:val="16"/>
      </w:rPr>
      <w:t>4</w:t>
    </w:r>
    <w:r w:rsidRPr="00122FAB">
      <w:rPr>
        <w:rFonts w:ascii="Gill Sans MT" w:hAnsi="Gill Sans MT"/>
        <w:sz w:val="16"/>
        <w:szCs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FFED6" w14:textId="77777777" w:rsidR="00982C5F" w:rsidRDefault="00982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028CD" w14:textId="77777777" w:rsidR="00F87A4E" w:rsidRDefault="00F87A4E" w:rsidP="00122FAB">
      <w:r>
        <w:separator/>
      </w:r>
    </w:p>
  </w:footnote>
  <w:footnote w:type="continuationSeparator" w:id="0">
    <w:p w14:paraId="1B0DC24A" w14:textId="77777777" w:rsidR="00F87A4E" w:rsidRDefault="00F87A4E" w:rsidP="00122FAB">
      <w:r>
        <w:continuationSeparator/>
      </w:r>
    </w:p>
  </w:footnote>
  <w:footnote w:type="continuationNotice" w:id="1">
    <w:p w14:paraId="205A7CBB" w14:textId="77777777" w:rsidR="00F87A4E" w:rsidRDefault="00F87A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A87A4" w14:textId="77777777" w:rsidR="00982C5F" w:rsidRDefault="00982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44F41" w14:textId="77777777" w:rsidR="00982C5F" w:rsidRDefault="00982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0A0AE" w14:textId="77777777" w:rsidR="00982C5F" w:rsidRDefault="00982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376"/>
    <w:multiLevelType w:val="hybridMultilevel"/>
    <w:tmpl w:val="B6B4CD78"/>
    <w:lvl w:ilvl="0" w:tplc="98ACA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667F9"/>
    <w:multiLevelType w:val="hybridMultilevel"/>
    <w:tmpl w:val="36B428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13C0E"/>
    <w:multiLevelType w:val="hybridMultilevel"/>
    <w:tmpl w:val="88E4031E"/>
    <w:lvl w:ilvl="0" w:tplc="9FDC5B9A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B483D"/>
    <w:multiLevelType w:val="hybridMultilevel"/>
    <w:tmpl w:val="EDB82A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4034DB"/>
    <w:multiLevelType w:val="hybridMultilevel"/>
    <w:tmpl w:val="0C4051B0"/>
    <w:lvl w:ilvl="0" w:tplc="FCC0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273108"/>
    <w:multiLevelType w:val="hybridMultilevel"/>
    <w:tmpl w:val="8E32A6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01DDF"/>
    <w:multiLevelType w:val="hybridMultilevel"/>
    <w:tmpl w:val="7BCEE9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06415"/>
    <w:multiLevelType w:val="hybridMultilevel"/>
    <w:tmpl w:val="8FE00B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80475D"/>
    <w:multiLevelType w:val="hybridMultilevel"/>
    <w:tmpl w:val="7592C5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5102E9"/>
    <w:multiLevelType w:val="hybridMultilevel"/>
    <w:tmpl w:val="63AA0C6E"/>
    <w:lvl w:ilvl="0" w:tplc="3EBAF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D05048"/>
    <w:multiLevelType w:val="hybridMultilevel"/>
    <w:tmpl w:val="3B384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E7F6C"/>
    <w:multiLevelType w:val="hybridMultilevel"/>
    <w:tmpl w:val="6C58C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75E3D"/>
    <w:multiLevelType w:val="hybridMultilevel"/>
    <w:tmpl w:val="F5A8D44C"/>
    <w:lvl w:ilvl="0" w:tplc="28000D84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8C5088"/>
    <w:multiLevelType w:val="hybridMultilevel"/>
    <w:tmpl w:val="91D8B4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C03C12"/>
    <w:multiLevelType w:val="hybridMultilevel"/>
    <w:tmpl w:val="4F525B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0158624">
    <w:abstractNumId w:val="12"/>
  </w:num>
  <w:num w:numId="2" w16cid:durableId="781340821">
    <w:abstractNumId w:val="10"/>
  </w:num>
  <w:num w:numId="3" w16cid:durableId="329791769">
    <w:abstractNumId w:val="5"/>
  </w:num>
  <w:num w:numId="4" w16cid:durableId="35468754">
    <w:abstractNumId w:val="4"/>
  </w:num>
  <w:num w:numId="5" w16cid:durableId="933824146">
    <w:abstractNumId w:val="2"/>
  </w:num>
  <w:num w:numId="6" w16cid:durableId="452095726">
    <w:abstractNumId w:val="13"/>
  </w:num>
  <w:num w:numId="7" w16cid:durableId="1806849257">
    <w:abstractNumId w:val="6"/>
  </w:num>
  <w:num w:numId="8" w16cid:durableId="1596357199">
    <w:abstractNumId w:val="3"/>
  </w:num>
  <w:num w:numId="9" w16cid:durableId="1227184543">
    <w:abstractNumId w:val="11"/>
  </w:num>
  <w:num w:numId="10" w16cid:durableId="1331912573">
    <w:abstractNumId w:val="1"/>
  </w:num>
  <w:num w:numId="11" w16cid:durableId="870071811">
    <w:abstractNumId w:val="8"/>
  </w:num>
  <w:num w:numId="12" w16cid:durableId="789739642">
    <w:abstractNumId w:val="14"/>
  </w:num>
  <w:num w:numId="13" w16cid:durableId="886841236">
    <w:abstractNumId w:val="7"/>
  </w:num>
  <w:num w:numId="14" w16cid:durableId="741831969">
    <w:abstractNumId w:val="0"/>
  </w:num>
  <w:num w:numId="15" w16cid:durableId="722096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37"/>
    <w:rsid w:val="000004DA"/>
    <w:rsid w:val="000008E3"/>
    <w:rsid w:val="00002A2C"/>
    <w:rsid w:val="00002AA4"/>
    <w:rsid w:val="00003613"/>
    <w:rsid w:val="0000478D"/>
    <w:rsid w:val="00004E5E"/>
    <w:rsid w:val="00007382"/>
    <w:rsid w:val="000101E0"/>
    <w:rsid w:val="000109E7"/>
    <w:rsid w:val="00012E8F"/>
    <w:rsid w:val="000137E5"/>
    <w:rsid w:val="0001688D"/>
    <w:rsid w:val="000176BF"/>
    <w:rsid w:val="00017C74"/>
    <w:rsid w:val="000230A8"/>
    <w:rsid w:val="000238AA"/>
    <w:rsid w:val="000255DA"/>
    <w:rsid w:val="0002659B"/>
    <w:rsid w:val="000278A5"/>
    <w:rsid w:val="00032611"/>
    <w:rsid w:val="00035262"/>
    <w:rsid w:val="00036ADB"/>
    <w:rsid w:val="00040B0E"/>
    <w:rsid w:val="00040BA3"/>
    <w:rsid w:val="0004136C"/>
    <w:rsid w:val="000441F6"/>
    <w:rsid w:val="00044370"/>
    <w:rsid w:val="00044873"/>
    <w:rsid w:val="00045229"/>
    <w:rsid w:val="0004775A"/>
    <w:rsid w:val="00050674"/>
    <w:rsid w:val="000509F3"/>
    <w:rsid w:val="000545D0"/>
    <w:rsid w:val="00057086"/>
    <w:rsid w:val="00057CC0"/>
    <w:rsid w:val="0006572D"/>
    <w:rsid w:val="000670D0"/>
    <w:rsid w:val="000707BC"/>
    <w:rsid w:val="0007141C"/>
    <w:rsid w:val="0007195A"/>
    <w:rsid w:val="00072E79"/>
    <w:rsid w:val="000739E8"/>
    <w:rsid w:val="00074C94"/>
    <w:rsid w:val="00074EF4"/>
    <w:rsid w:val="0007510A"/>
    <w:rsid w:val="00076719"/>
    <w:rsid w:val="00080507"/>
    <w:rsid w:val="00083829"/>
    <w:rsid w:val="00084866"/>
    <w:rsid w:val="0008537E"/>
    <w:rsid w:val="000854DA"/>
    <w:rsid w:val="00085DAB"/>
    <w:rsid w:val="000863B3"/>
    <w:rsid w:val="00086EE2"/>
    <w:rsid w:val="00087429"/>
    <w:rsid w:val="00087527"/>
    <w:rsid w:val="00090417"/>
    <w:rsid w:val="00091325"/>
    <w:rsid w:val="00092491"/>
    <w:rsid w:val="00093D7F"/>
    <w:rsid w:val="00094B55"/>
    <w:rsid w:val="00095A5F"/>
    <w:rsid w:val="0009620D"/>
    <w:rsid w:val="00096638"/>
    <w:rsid w:val="00096B63"/>
    <w:rsid w:val="00096FE4"/>
    <w:rsid w:val="000971DD"/>
    <w:rsid w:val="0009770B"/>
    <w:rsid w:val="00097AF8"/>
    <w:rsid w:val="000A0401"/>
    <w:rsid w:val="000A193B"/>
    <w:rsid w:val="000A509C"/>
    <w:rsid w:val="000A585C"/>
    <w:rsid w:val="000A5B72"/>
    <w:rsid w:val="000A6077"/>
    <w:rsid w:val="000A63B0"/>
    <w:rsid w:val="000B223A"/>
    <w:rsid w:val="000B2916"/>
    <w:rsid w:val="000B4CE2"/>
    <w:rsid w:val="000B6C6B"/>
    <w:rsid w:val="000C2882"/>
    <w:rsid w:val="000C32A5"/>
    <w:rsid w:val="000C408A"/>
    <w:rsid w:val="000C4575"/>
    <w:rsid w:val="000C4F25"/>
    <w:rsid w:val="000C58CD"/>
    <w:rsid w:val="000C6213"/>
    <w:rsid w:val="000D0C58"/>
    <w:rsid w:val="000D195E"/>
    <w:rsid w:val="000D1E27"/>
    <w:rsid w:val="000D3C9F"/>
    <w:rsid w:val="000D3E98"/>
    <w:rsid w:val="000D571E"/>
    <w:rsid w:val="000D6E74"/>
    <w:rsid w:val="000E0A94"/>
    <w:rsid w:val="000E0B18"/>
    <w:rsid w:val="000E1BD0"/>
    <w:rsid w:val="000E3DFC"/>
    <w:rsid w:val="000E53BB"/>
    <w:rsid w:val="000F06D6"/>
    <w:rsid w:val="000F3930"/>
    <w:rsid w:val="000F3D72"/>
    <w:rsid w:val="000F645C"/>
    <w:rsid w:val="000F6E2C"/>
    <w:rsid w:val="000F7A4E"/>
    <w:rsid w:val="00100BB9"/>
    <w:rsid w:val="00104B7A"/>
    <w:rsid w:val="00104E28"/>
    <w:rsid w:val="00112BFD"/>
    <w:rsid w:val="0011312D"/>
    <w:rsid w:val="0011350D"/>
    <w:rsid w:val="00120D96"/>
    <w:rsid w:val="001212FF"/>
    <w:rsid w:val="00121401"/>
    <w:rsid w:val="001215CC"/>
    <w:rsid w:val="00122FAB"/>
    <w:rsid w:val="00124491"/>
    <w:rsid w:val="001256CB"/>
    <w:rsid w:val="00125836"/>
    <w:rsid w:val="00125946"/>
    <w:rsid w:val="00125CA8"/>
    <w:rsid w:val="00126834"/>
    <w:rsid w:val="00126D96"/>
    <w:rsid w:val="00133636"/>
    <w:rsid w:val="0013382C"/>
    <w:rsid w:val="00137CA3"/>
    <w:rsid w:val="001404B6"/>
    <w:rsid w:val="00142D31"/>
    <w:rsid w:val="00145846"/>
    <w:rsid w:val="00145B50"/>
    <w:rsid w:val="0014661D"/>
    <w:rsid w:val="0015309C"/>
    <w:rsid w:val="00154073"/>
    <w:rsid w:val="001545AE"/>
    <w:rsid w:val="00155E3B"/>
    <w:rsid w:val="001568BA"/>
    <w:rsid w:val="00156CD2"/>
    <w:rsid w:val="00156F37"/>
    <w:rsid w:val="00157026"/>
    <w:rsid w:val="001571C4"/>
    <w:rsid w:val="0016218E"/>
    <w:rsid w:val="0016390A"/>
    <w:rsid w:val="00163A71"/>
    <w:rsid w:val="001654D2"/>
    <w:rsid w:val="00166C0D"/>
    <w:rsid w:val="00166FF3"/>
    <w:rsid w:val="0017036C"/>
    <w:rsid w:val="00171225"/>
    <w:rsid w:val="0017151C"/>
    <w:rsid w:val="0017385B"/>
    <w:rsid w:val="001739B1"/>
    <w:rsid w:val="001759AD"/>
    <w:rsid w:val="00176500"/>
    <w:rsid w:val="00177838"/>
    <w:rsid w:val="001809E3"/>
    <w:rsid w:val="00180C4F"/>
    <w:rsid w:val="001828BC"/>
    <w:rsid w:val="00183BF6"/>
    <w:rsid w:val="00186ACD"/>
    <w:rsid w:val="00191AAF"/>
    <w:rsid w:val="0019277E"/>
    <w:rsid w:val="001951BF"/>
    <w:rsid w:val="00196AD6"/>
    <w:rsid w:val="00197A5E"/>
    <w:rsid w:val="001A1C6A"/>
    <w:rsid w:val="001A3EA4"/>
    <w:rsid w:val="001A4541"/>
    <w:rsid w:val="001A4F9F"/>
    <w:rsid w:val="001A5B25"/>
    <w:rsid w:val="001A64E3"/>
    <w:rsid w:val="001A7055"/>
    <w:rsid w:val="001A77F6"/>
    <w:rsid w:val="001A7E00"/>
    <w:rsid w:val="001B03B6"/>
    <w:rsid w:val="001B03B8"/>
    <w:rsid w:val="001B1A70"/>
    <w:rsid w:val="001B21E3"/>
    <w:rsid w:val="001B30A3"/>
    <w:rsid w:val="001B5A28"/>
    <w:rsid w:val="001B7573"/>
    <w:rsid w:val="001C00C2"/>
    <w:rsid w:val="001C3680"/>
    <w:rsid w:val="001C39A2"/>
    <w:rsid w:val="001C498F"/>
    <w:rsid w:val="001C4BF4"/>
    <w:rsid w:val="001C555E"/>
    <w:rsid w:val="001C621E"/>
    <w:rsid w:val="001C7CF4"/>
    <w:rsid w:val="001D15ED"/>
    <w:rsid w:val="001D2541"/>
    <w:rsid w:val="001D2B88"/>
    <w:rsid w:val="001D33A0"/>
    <w:rsid w:val="001D38D0"/>
    <w:rsid w:val="001D426D"/>
    <w:rsid w:val="001D4DCA"/>
    <w:rsid w:val="001D55D8"/>
    <w:rsid w:val="001D62C1"/>
    <w:rsid w:val="001E0521"/>
    <w:rsid w:val="001E1398"/>
    <w:rsid w:val="001E13B5"/>
    <w:rsid w:val="001E1C86"/>
    <w:rsid w:val="001E2A5E"/>
    <w:rsid w:val="001E3F2A"/>
    <w:rsid w:val="001E4EE0"/>
    <w:rsid w:val="001E624E"/>
    <w:rsid w:val="001F0526"/>
    <w:rsid w:val="001F20DF"/>
    <w:rsid w:val="001F21DF"/>
    <w:rsid w:val="001F2C8E"/>
    <w:rsid w:val="001F3B0C"/>
    <w:rsid w:val="001F4EBB"/>
    <w:rsid w:val="001F67F0"/>
    <w:rsid w:val="002004E2"/>
    <w:rsid w:val="00200865"/>
    <w:rsid w:val="002020E2"/>
    <w:rsid w:val="0020319F"/>
    <w:rsid w:val="002068BF"/>
    <w:rsid w:val="002077E7"/>
    <w:rsid w:val="002107B6"/>
    <w:rsid w:val="002115BF"/>
    <w:rsid w:val="00211649"/>
    <w:rsid w:val="00215340"/>
    <w:rsid w:val="00215EA3"/>
    <w:rsid w:val="00216D08"/>
    <w:rsid w:val="00217E71"/>
    <w:rsid w:val="002218A6"/>
    <w:rsid w:val="002219EE"/>
    <w:rsid w:val="00221DDE"/>
    <w:rsid w:val="00222504"/>
    <w:rsid w:val="00224F90"/>
    <w:rsid w:val="002255A2"/>
    <w:rsid w:val="00225927"/>
    <w:rsid w:val="002261E0"/>
    <w:rsid w:val="00226400"/>
    <w:rsid w:val="00226EF4"/>
    <w:rsid w:val="002320D4"/>
    <w:rsid w:val="002335A6"/>
    <w:rsid w:val="00234A49"/>
    <w:rsid w:val="002357EC"/>
    <w:rsid w:val="00236D5E"/>
    <w:rsid w:val="00236E9D"/>
    <w:rsid w:val="0024025C"/>
    <w:rsid w:val="00241D0A"/>
    <w:rsid w:val="0024322E"/>
    <w:rsid w:val="00243A80"/>
    <w:rsid w:val="002450BB"/>
    <w:rsid w:val="00245767"/>
    <w:rsid w:val="00246E75"/>
    <w:rsid w:val="002475F8"/>
    <w:rsid w:val="00251453"/>
    <w:rsid w:val="00252186"/>
    <w:rsid w:val="00252C9D"/>
    <w:rsid w:val="00255581"/>
    <w:rsid w:val="00255823"/>
    <w:rsid w:val="00256A51"/>
    <w:rsid w:val="00261308"/>
    <w:rsid w:val="002635B1"/>
    <w:rsid w:val="00264D98"/>
    <w:rsid w:val="00265540"/>
    <w:rsid w:val="002659EC"/>
    <w:rsid w:val="0026692A"/>
    <w:rsid w:val="00266A32"/>
    <w:rsid w:val="00266CA6"/>
    <w:rsid w:val="002705AB"/>
    <w:rsid w:val="00270DEF"/>
    <w:rsid w:val="00273166"/>
    <w:rsid w:val="0027743E"/>
    <w:rsid w:val="00277A91"/>
    <w:rsid w:val="00280F8D"/>
    <w:rsid w:val="002825AE"/>
    <w:rsid w:val="002834EA"/>
    <w:rsid w:val="00283AEE"/>
    <w:rsid w:val="002841BE"/>
    <w:rsid w:val="00285072"/>
    <w:rsid w:val="00286CBF"/>
    <w:rsid w:val="00290DCF"/>
    <w:rsid w:val="00291A49"/>
    <w:rsid w:val="00293630"/>
    <w:rsid w:val="00293E3B"/>
    <w:rsid w:val="002957D6"/>
    <w:rsid w:val="002A161D"/>
    <w:rsid w:val="002A1A5D"/>
    <w:rsid w:val="002A3510"/>
    <w:rsid w:val="002B139C"/>
    <w:rsid w:val="002B3502"/>
    <w:rsid w:val="002B3F58"/>
    <w:rsid w:val="002B48DA"/>
    <w:rsid w:val="002B7888"/>
    <w:rsid w:val="002C0948"/>
    <w:rsid w:val="002C22B8"/>
    <w:rsid w:val="002C2823"/>
    <w:rsid w:val="002C32F3"/>
    <w:rsid w:val="002C5E0B"/>
    <w:rsid w:val="002C6569"/>
    <w:rsid w:val="002C75C2"/>
    <w:rsid w:val="002D1191"/>
    <w:rsid w:val="002D209C"/>
    <w:rsid w:val="002D220E"/>
    <w:rsid w:val="002D3DFD"/>
    <w:rsid w:val="002E0DB1"/>
    <w:rsid w:val="002E1D4E"/>
    <w:rsid w:val="002E1FA8"/>
    <w:rsid w:val="002E28CF"/>
    <w:rsid w:val="002E3DE0"/>
    <w:rsid w:val="002E4894"/>
    <w:rsid w:val="002E7408"/>
    <w:rsid w:val="002E755E"/>
    <w:rsid w:val="002F09A8"/>
    <w:rsid w:val="002F1D1B"/>
    <w:rsid w:val="002F1F26"/>
    <w:rsid w:val="002F222B"/>
    <w:rsid w:val="002F32CF"/>
    <w:rsid w:val="002F5A56"/>
    <w:rsid w:val="002F5AC0"/>
    <w:rsid w:val="002F66B4"/>
    <w:rsid w:val="002F7BAB"/>
    <w:rsid w:val="002F7C04"/>
    <w:rsid w:val="003001C9"/>
    <w:rsid w:val="00300271"/>
    <w:rsid w:val="00303AFF"/>
    <w:rsid w:val="00303B00"/>
    <w:rsid w:val="003040A1"/>
    <w:rsid w:val="0030544E"/>
    <w:rsid w:val="00306C09"/>
    <w:rsid w:val="00306D59"/>
    <w:rsid w:val="00307511"/>
    <w:rsid w:val="00307555"/>
    <w:rsid w:val="00310D52"/>
    <w:rsid w:val="003116DE"/>
    <w:rsid w:val="00311EFD"/>
    <w:rsid w:val="00313E75"/>
    <w:rsid w:val="00322B4A"/>
    <w:rsid w:val="0032503A"/>
    <w:rsid w:val="0032641C"/>
    <w:rsid w:val="00330702"/>
    <w:rsid w:val="0033182F"/>
    <w:rsid w:val="0033267D"/>
    <w:rsid w:val="003327AD"/>
    <w:rsid w:val="00333AC1"/>
    <w:rsid w:val="00335007"/>
    <w:rsid w:val="00335808"/>
    <w:rsid w:val="00340DA0"/>
    <w:rsid w:val="0034337D"/>
    <w:rsid w:val="00344635"/>
    <w:rsid w:val="003460ED"/>
    <w:rsid w:val="00346A6B"/>
    <w:rsid w:val="00346AF4"/>
    <w:rsid w:val="0035108E"/>
    <w:rsid w:val="003511AC"/>
    <w:rsid w:val="00352227"/>
    <w:rsid w:val="00352A9D"/>
    <w:rsid w:val="00353C37"/>
    <w:rsid w:val="003540DB"/>
    <w:rsid w:val="00354B93"/>
    <w:rsid w:val="0035775D"/>
    <w:rsid w:val="00357ACE"/>
    <w:rsid w:val="00363214"/>
    <w:rsid w:val="00366002"/>
    <w:rsid w:val="003717A0"/>
    <w:rsid w:val="0037190F"/>
    <w:rsid w:val="00372A7F"/>
    <w:rsid w:val="00381AAB"/>
    <w:rsid w:val="0038208B"/>
    <w:rsid w:val="003823AB"/>
    <w:rsid w:val="00382996"/>
    <w:rsid w:val="003829DC"/>
    <w:rsid w:val="003838DF"/>
    <w:rsid w:val="003838EA"/>
    <w:rsid w:val="003838F7"/>
    <w:rsid w:val="00385365"/>
    <w:rsid w:val="003863D9"/>
    <w:rsid w:val="00386642"/>
    <w:rsid w:val="00387820"/>
    <w:rsid w:val="003906BF"/>
    <w:rsid w:val="0039092A"/>
    <w:rsid w:val="00391F37"/>
    <w:rsid w:val="003933EA"/>
    <w:rsid w:val="00394D4D"/>
    <w:rsid w:val="00396A72"/>
    <w:rsid w:val="00397A1C"/>
    <w:rsid w:val="00397B50"/>
    <w:rsid w:val="003A0DBD"/>
    <w:rsid w:val="003A284E"/>
    <w:rsid w:val="003A34F0"/>
    <w:rsid w:val="003A391F"/>
    <w:rsid w:val="003A3B38"/>
    <w:rsid w:val="003A3FA6"/>
    <w:rsid w:val="003A47A4"/>
    <w:rsid w:val="003A6553"/>
    <w:rsid w:val="003A7160"/>
    <w:rsid w:val="003A7D87"/>
    <w:rsid w:val="003A7DFB"/>
    <w:rsid w:val="003B0A02"/>
    <w:rsid w:val="003B199D"/>
    <w:rsid w:val="003B4490"/>
    <w:rsid w:val="003B62E8"/>
    <w:rsid w:val="003B67B3"/>
    <w:rsid w:val="003B75E4"/>
    <w:rsid w:val="003C1434"/>
    <w:rsid w:val="003C1701"/>
    <w:rsid w:val="003C1C4D"/>
    <w:rsid w:val="003C2434"/>
    <w:rsid w:val="003C3E41"/>
    <w:rsid w:val="003C5D26"/>
    <w:rsid w:val="003C70DE"/>
    <w:rsid w:val="003D4B91"/>
    <w:rsid w:val="003D4E6E"/>
    <w:rsid w:val="003D619B"/>
    <w:rsid w:val="003D78AE"/>
    <w:rsid w:val="003D79AD"/>
    <w:rsid w:val="003E0035"/>
    <w:rsid w:val="003E00FC"/>
    <w:rsid w:val="003E185A"/>
    <w:rsid w:val="003E29E4"/>
    <w:rsid w:val="003E34AF"/>
    <w:rsid w:val="003E5038"/>
    <w:rsid w:val="003E5EA1"/>
    <w:rsid w:val="003E7EFF"/>
    <w:rsid w:val="003F16B5"/>
    <w:rsid w:val="003F258D"/>
    <w:rsid w:val="003F3ADD"/>
    <w:rsid w:val="003F5B46"/>
    <w:rsid w:val="003F5CCD"/>
    <w:rsid w:val="00401171"/>
    <w:rsid w:val="00401883"/>
    <w:rsid w:val="00402C51"/>
    <w:rsid w:val="00403099"/>
    <w:rsid w:val="004058CC"/>
    <w:rsid w:val="00405E84"/>
    <w:rsid w:val="00406064"/>
    <w:rsid w:val="004061B7"/>
    <w:rsid w:val="004075AF"/>
    <w:rsid w:val="004139DE"/>
    <w:rsid w:val="00414F90"/>
    <w:rsid w:val="00415326"/>
    <w:rsid w:val="004171A7"/>
    <w:rsid w:val="00417808"/>
    <w:rsid w:val="0042097B"/>
    <w:rsid w:val="00424910"/>
    <w:rsid w:val="00424C03"/>
    <w:rsid w:val="004261BC"/>
    <w:rsid w:val="004266E5"/>
    <w:rsid w:val="00433936"/>
    <w:rsid w:val="0043458F"/>
    <w:rsid w:val="004359DA"/>
    <w:rsid w:val="00436A72"/>
    <w:rsid w:val="00437C04"/>
    <w:rsid w:val="004425F1"/>
    <w:rsid w:val="0044359C"/>
    <w:rsid w:val="00443FA1"/>
    <w:rsid w:val="00445914"/>
    <w:rsid w:val="00445C1C"/>
    <w:rsid w:val="00445C73"/>
    <w:rsid w:val="004513B4"/>
    <w:rsid w:val="0045151D"/>
    <w:rsid w:val="00453561"/>
    <w:rsid w:val="004539E3"/>
    <w:rsid w:val="00454606"/>
    <w:rsid w:val="004564D4"/>
    <w:rsid w:val="004579D9"/>
    <w:rsid w:val="00460745"/>
    <w:rsid w:val="0046249A"/>
    <w:rsid w:val="00462B04"/>
    <w:rsid w:val="0046355C"/>
    <w:rsid w:val="00463A80"/>
    <w:rsid w:val="00463C1B"/>
    <w:rsid w:val="0046649E"/>
    <w:rsid w:val="00466CA7"/>
    <w:rsid w:val="004778C2"/>
    <w:rsid w:val="00477B2C"/>
    <w:rsid w:val="004803C2"/>
    <w:rsid w:val="00480973"/>
    <w:rsid w:val="004809F9"/>
    <w:rsid w:val="004822E6"/>
    <w:rsid w:val="004830CA"/>
    <w:rsid w:val="00484131"/>
    <w:rsid w:val="00485BE4"/>
    <w:rsid w:val="00491903"/>
    <w:rsid w:val="00491E92"/>
    <w:rsid w:val="004934F4"/>
    <w:rsid w:val="00493E94"/>
    <w:rsid w:val="004968A3"/>
    <w:rsid w:val="00496DC4"/>
    <w:rsid w:val="00497246"/>
    <w:rsid w:val="004A027B"/>
    <w:rsid w:val="004A06FB"/>
    <w:rsid w:val="004A16B0"/>
    <w:rsid w:val="004A2173"/>
    <w:rsid w:val="004A2988"/>
    <w:rsid w:val="004A3F5E"/>
    <w:rsid w:val="004A4051"/>
    <w:rsid w:val="004A4E60"/>
    <w:rsid w:val="004A78AD"/>
    <w:rsid w:val="004B1623"/>
    <w:rsid w:val="004B1DE3"/>
    <w:rsid w:val="004B3924"/>
    <w:rsid w:val="004B65FB"/>
    <w:rsid w:val="004C33A0"/>
    <w:rsid w:val="004C3A33"/>
    <w:rsid w:val="004C4FB5"/>
    <w:rsid w:val="004C75D6"/>
    <w:rsid w:val="004D01AC"/>
    <w:rsid w:val="004D2677"/>
    <w:rsid w:val="004D28C0"/>
    <w:rsid w:val="004D38E4"/>
    <w:rsid w:val="004D66E1"/>
    <w:rsid w:val="004D6998"/>
    <w:rsid w:val="004E1097"/>
    <w:rsid w:val="004E1D30"/>
    <w:rsid w:val="004E3F49"/>
    <w:rsid w:val="004E68F0"/>
    <w:rsid w:val="004E77D8"/>
    <w:rsid w:val="004F341B"/>
    <w:rsid w:val="004F605D"/>
    <w:rsid w:val="004F65D1"/>
    <w:rsid w:val="004F6633"/>
    <w:rsid w:val="00500BD8"/>
    <w:rsid w:val="00502002"/>
    <w:rsid w:val="0050206F"/>
    <w:rsid w:val="00503B96"/>
    <w:rsid w:val="00506329"/>
    <w:rsid w:val="005065DD"/>
    <w:rsid w:val="005103B7"/>
    <w:rsid w:val="00510D91"/>
    <w:rsid w:val="00511838"/>
    <w:rsid w:val="00512993"/>
    <w:rsid w:val="00512BE6"/>
    <w:rsid w:val="00514F6C"/>
    <w:rsid w:val="005162A6"/>
    <w:rsid w:val="005166B6"/>
    <w:rsid w:val="00517F32"/>
    <w:rsid w:val="00522605"/>
    <w:rsid w:val="00522CA9"/>
    <w:rsid w:val="00523529"/>
    <w:rsid w:val="005241DA"/>
    <w:rsid w:val="005259AF"/>
    <w:rsid w:val="0052600F"/>
    <w:rsid w:val="005266D7"/>
    <w:rsid w:val="0053115B"/>
    <w:rsid w:val="005317B7"/>
    <w:rsid w:val="0053515A"/>
    <w:rsid w:val="00535318"/>
    <w:rsid w:val="005363DE"/>
    <w:rsid w:val="005374C2"/>
    <w:rsid w:val="00537E7A"/>
    <w:rsid w:val="005413D1"/>
    <w:rsid w:val="00541BAF"/>
    <w:rsid w:val="00541ECA"/>
    <w:rsid w:val="00542878"/>
    <w:rsid w:val="00550BCE"/>
    <w:rsid w:val="00550E5A"/>
    <w:rsid w:val="0055298C"/>
    <w:rsid w:val="00552E09"/>
    <w:rsid w:val="00553D6C"/>
    <w:rsid w:val="00561D68"/>
    <w:rsid w:val="00561FD3"/>
    <w:rsid w:val="00563D1A"/>
    <w:rsid w:val="00565482"/>
    <w:rsid w:val="005659E3"/>
    <w:rsid w:val="00566D0D"/>
    <w:rsid w:val="00567674"/>
    <w:rsid w:val="005677D2"/>
    <w:rsid w:val="0057141F"/>
    <w:rsid w:val="00572C9D"/>
    <w:rsid w:val="00573026"/>
    <w:rsid w:val="0057309E"/>
    <w:rsid w:val="0057404B"/>
    <w:rsid w:val="00574876"/>
    <w:rsid w:val="005756F4"/>
    <w:rsid w:val="0057781D"/>
    <w:rsid w:val="005801AD"/>
    <w:rsid w:val="00581695"/>
    <w:rsid w:val="00582373"/>
    <w:rsid w:val="0058258C"/>
    <w:rsid w:val="005849B8"/>
    <w:rsid w:val="00584C9A"/>
    <w:rsid w:val="00585216"/>
    <w:rsid w:val="005878BB"/>
    <w:rsid w:val="00592EF4"/>
    <w:rsid w:val="00592FF8"/>
    <w:rsid w:val="00593609"/>
    <w:rsid w:val="00593910"/>
    <w:rsid w:val="005947FF"/>
    <w:rsid w:val="00594D30"/>
    <w:rsid w:val="00596504"/>
    <w:rsid w:val="00596E52"/>
    <w:rsid w:val="005A05C0"/>
    <w:rsid w:val="005A0E64"/>
    <w:rsid w:val="005A289A"/>
    <w:rsid w:val="005A2AED"/>
    <w:rsid w:val="005A33A9"/>
    <w:rsid w:val="005A494B"/>
    <w:rsid w:val="005A5AAD"/>
    <w:rsid w:val="005A766C"/>
    <w:rsid w:val="005A786D"/>
    <w:rsid w:val="005B0C9A"/>
    <w:rsid w:val="005B10C2"/>
    <w:rsid w:val="005B16AA"/>
    <w:rsid w:val="005B2B2C"/>
    <w:rsid w:val="005B319C"/>
    <w:rsid w:val="005B3C1B"/>
    <w:rsid w:val="005C0512"/>
    <w:rsid w:val="005C48BD"/>
    <w:rsid w:val="005C5893"/>
    <w:rsid w:val="005C62BA"/>
    <w:rsid w:val="005C6393"/>
    <w:rsid w:val="005C7F11"/>
    <w:rsid w:val="005D2D6C"/>
    <w:rsid w:val="005D3805"/>
    <w:rsid w:val="005D3B90"/>
    <w:rsid w:val="005D5041"/>
    <w:rsid w:val="005D5769"/>
    <w:rsid w:val="005D65FC"/>
    <w:rsid w:val="005D668A"/>
    <w:rsid w:val="005D7F4D"/>
    <w:rsid w:val="005E0668"/>
    <w:rsid w:val="005E1B6A"/>
    <w:rsid w:val="005E3046"/>
    <w:rsid w:val="005E45E1"/>
    <w:rsid w:val="005E4AD5"/>
    <w:rsid w:val="005E5533"/>
    <w:rsid w:val="005F193D"/>
    <w:rsid w:val="005F51CB"/>
    <w:rsid w:val="00600922"/>
    <w:rsid w:val="006056DB"/>
    <w:rsid w:val="00605D34"/>
    <w:rsid w:val="0060706E"/>
    <w:rsid w:val="00610DDE"/>
    <w:rsid w:val="0061145B"/>
    <w:rsid w:val="006116DF"/>
    <w:rsid w:val="006127C5"/>
    <w:rsid w:val="006128C8"/>
    <w:rsid w:val="00612A59"/>
    <w:rsid w:val="00612BC0"/>
    <w:rsid w:val="00612DE4"/>
    <w:rsid w:val="00613711"/>
    <w:rsid w:val="00613EB2"/>
    <w:rsid w:val="00614DB3"/>
    <w:rsid w:val="0061516D"/>
    <w:rsid w:val="00616338"/>
    <w:rsid w:val="00616405"/>
    <w:rsid w:val="00617DF7"/>
    <w:rsid w:val="00621A5A"/>
    <w:rsid w:val="00621C26"/>
    <w:rsid w:val="006232FB"/>
    <w:rsid w:val="006234AF"/>
    <w:rsid w:val="00623609"/>
    <w:rsid w:val="006237D8"/>
    <w:rsid w:val="00625C33"/>
    <w:rsid w:val="00625D8B"/>
    <w:rsid w:val="006272FB"/>
    <w:rsid w:val="006311AA"/>
    <w:rsid w:val="0063239A"/>
    <w:rsid w:val="0063324A"/>
    <w:rsid w:val="0063453D"/>
    <w:rsid w:val="006352C7"/>
    <w:rsid w:val="006363B5"/>
    <w:rsid w:val="00636F78"/>
    <w:rsid w:val="00641D5D"/>
    <w:rsid w:val="00643E5A"/>
    <w:rsid w:val="00643EC8"/>
    <w:rsid w:val="00643F7D"/>
    <w:rsid w:val="006458ED"/>
    <w:rsid w:val="006464FC"/>
    <w:rsid w:val="00652D5C"/>
    <w:rsid w:val="006537D2"/>
    <w:rsid w:val="00655BD6"/>
    <w:rsid w:val="00655D52"/>
    <w:rsid w:val="006604C2"/>
    <w:rsid w:val="00660A09"/>
    <w:rsid w:val="006620D6"/>
    <w:rsid w:val="0066233D"/>
    <w:rsid w:val="00664328"/>
    <w:rsid w:val="00665DE5"/>
    <w:rsid w:val="006675D2"/>
    <w:rsid w:val="0067028A"/>
    <w:rsid w:val="00670869"/>
    <w:rsid w:val="006712D2"/>
    <w:rsid w:val="006767C9"/>
    <w:rsid w:val="00677031"/>
    <w:rsid w:val="00680064"/>
    <w:rsid w:val="00680765"/>
    <w:rsid w:val="006863AF"/>
    <w:rsid w:val="00687857"/>
    <w:rsid w:val="00687BED"/>
    <w:rsid w:val="00692E64"/>
    <w:rsid w:val="00692F7A"/>
    <w:rsid w:val="00693BFA"/>
    <w:rsid w:val="0069492D"/>
    <w:rsid w:val="00694E36"/>
    <w:rsid w:val="006952EE"/>
    <w:rsid w:val="00696EF5"/>
    <w:rsid w:val="006A0D3E"/>
    <w:rsid w:val="006A2B78"/>
    <w:rsid w:val="006A47E3"/>
    <w:rsid w:val="006A4E21"/>
    <w:rsid w:val="006A657B"/>
    <w:rsid w:val="006A68A6"/>
    <w:rsid w:val="006B0FCE"/>
    <w:rsid w:val="006B169D"/>
    <w:rsid w:val="006B17D3"/>
    <w:rsid w:val="006B19CB"/>
    <w:rsid w:val="006B2ADC"/>
    <w:rsid w:val="006B2CDC"/>
    <w:rsid w:val="006B6F65"/>
    <w:rsid w:val="006C0C0F"/>
    <w:rsid w:val="006C0DEC"/>
    <w:rsid w:val="006C2C05"/>
    <w:rsid w:val="006C2DC6"/>
    <w:rsid w:val="006C2E51"/>
    <w:rsid w:val="006C3C04"/>
    <w:rsid w:val="006C443F"/>
    <w:rsid w:val="006C53C3"/>
    <w:rsid w:val="006C586E"/>
    <w:rsid w:val="006C7B64"/>
    <w:rsid w:val="006D04C8"/>
    <w:rsid w:val="006D2DB7"/>
    <w:rsid w:val="006D32CC"/>
    <w:rsid w:val="006D351A"/>
    <w:rsid w:val="006D4342"/>
    <w:rsid w:val="006D69E4"/>
    <w:rsid w:val="006D76D6"/>
    <w:rsid w:val="006E3873"/>
    <w:rsid w:val="006E40D9"/>
    <w:rsid w:val="006E770C"/>
    <w:rsid w:val="006F29D7"/>
    <w:rsid w:val="006F599B"/>
    <w:rsid w:val="006F77A7"/>
    <w:rsid w:val="006F7917"/>
    <w:rsid w:val="00703517"/>
    <w:rsid w:val="007053E0"/>
    <w:rsid w:val="00705476"/>
    <w:rsid w:val="00705CFF"/>
    <w:rsid w:val="00710412"/>
    <w:rsid w:val="00710618"/>
    <w:rsid w:val="00711ACF"/>
    <w:rsid w:val="00713D23"/>
    <w:rsid w:val="00714C79"/>
    <w:rsid w:val="00715B7D"/>
    <w:rsid w:val="00716AC0"/>
    <w:rsid w:val="007204DC"/>
    <w:rsid w:val="00720D33"/>
    <w:rsid w:val="00722023"/>
    <w:rsid w:val="00723160"/>
    <w:rsid w:val="00723A3B"/>
    <w:rsid w:val="00723A78"/>
    <w:rsid w:val="00724A21"/>
    <w:rsid w:val="00725356"/>
    <w:rsid w:val="007265F9"/>
    <w:rsid w:val="007269D5"/>
    <w:rsid w:val="00726E56"/>
    <w:rsid w:val="00726E93"/>
    <w:rsid w:val="007275DF"/>
    <w:rsid w:val="007306CB"/>
    <w:rsid w:val="007340F9"/>
    <w:rsid w:val="00734CC6"/>
    <w:rsid w:val="007356CD"/>
    <w:rsid w:val="00735E6C"/>
    <w:rsid w:val="00737158"/>
    <w:rsid w:val="00740B98"/>
    <w:rsid w:val="00744841"/>
    <w:rsid w:val="00745004"/>
    <w:rsid w:val="00747DAF"/>
    <w:rsid w:val="00750453"/>
    <w:rsid w:val="00750A27"/>
    <w:rsid w:val="007519C3"/>
    <w:rsid w:val="007523C1"/>
    <w:rsid w:val="00753A22"/>
    <w:rsid w:val="00754894"/>
    <w:rsid w:val="00754BBD"/>
    <w:rsid w:val="0075665A"/>
    <w:rsid w:val="0076055A"/>
    <w:rsid w:val="00760993"/>
    <w:rsid w:val="007613D5"/>
    <w:rsid w:val="007622FD"/>
    <w:rsid w:val="00762777"/>
    <w:rsid w:val="00765755"/>
    <w:rsid w:val="007703F0"/>
    <w:rsid w:val="007716F0"/>
    <w:rsid w:val="00771A51"/>
    <w:rsid w:val="00771BF6"/>
    <w:rsid w:val="00772B5E"/>
    <w:rsid w:val="00773564"/>
    <w:rsid w:val="00774D18"/>
    <w:rsid w:val="007779E1"/>
    <w:rsid w:val="00780B23"/>
    <w:rsid w:val="00781326"/>
    <w:rsid w:val="00782F35"/>
    <w:rsid w:val="00783E59"/>
    <w:rsid w:val="007854ED"/>
    <w:rsid w:val="00785ECD"/>
    <w:rsid w:val="007861FE"/>
    <w:rsid w:val="00787E0D"/>
    <w:rsid w:val="00790475"/>
    <w:rsid w:val="00791AC2"/>
    <w:rsid w:val="00791C9F"/>
    <w:rsid w:val="007923AD"/>
    <w:rsid w:val="007930DA"/>
    <w:rsid w:val="00794960"/>
    <w:rsid w:val="007966EF"/>
    <w:rsid w:val="007A05C3"/>
    <w:rsid w:val="007A286F"/>
    <w:rsid w:val="007A49F6"/>
    <w:rsid w:val="007A50D2"/>
    <w:rsid w:val="007B0C6F"/>
    <w:rsid w:val="007B0FF4"/>
    <w:rsid w:val="007B1B6B"/>
    <w:rsid w:val="007B1F7A"/>
    <w:rsid w:val="007B4763"/>
    <w:rsid w:val="007B4766"/>
    <w:rsid w:val="007B48E0"/>
    <w:rsid w:val="007B50A5"/>
    <w:rsid w:val="007B67E7"/>
    <w:rsid w:val="007B724D"/>
    <w:rsid w:val="007B7A37"/>
    <w:rsid w:val="007B7BD9"/>
    <w:rsid w:val="007C1558"/>
    <w:rsid w:val="007C1BEB"/>
    <w:rsid w:val="007C277B"/>
    <w:rsid w:val="007C2968"/>
    <w:rsid w:val="007C32DF"/>
    <w:rsid w:val="007C4D4B"/>
    <w:rsid w:val="007C6B89"/>
    <w:rsid w:val="007C70C4"/>
    <w:rsid w:val="007D204F"/>
    <w:rsid w:val="007D2639"/>
    <w:rsid w:val="007D3DF3"/>
    <w:rsid w:val="007D642C"/>
    <w:rsid w:val="007D74E7"/>
    <w:rsid w:val="007D78D1"/>
    <w:rsid w:val="007D7AE6"/>
    <w:rsid w:val="007E0364"/>
    <w:rsid w:val="007E0D54"/>
    <w:rsid w:val="007E12C1"/>
    <w:rsid w:val="007E12C9"/>
    <w:rsid w:val="007E1780"/>
    <w:rsid w:val="007E476B"/>
    <w:rsid w:val="007E543A"/>
    <w:rsid w:val="007E63A7"/>
    <w:rsid w:val="007E65EA"/>
    <w:rsid w:val="007E66CF"/>
    <w:rsid w:val="007F0BD0"/>
    <w:rsid w:val="007F1045"/>
    <w:rsid w:val="007F4F00"/>
    <w:rsid w:val="007F544E"/>
    <w:rsid w:val="007F54C6"/>
    <w:rsid w:val="007F5522"/>
    <w:rsid w:val="007F5A77"/>
    <w:rsid w:val="008016B0"/>
    <w:rsid w:val="00802E53"/>
    <w:rsid w:val="00803D85"/>
    <w:rsid w:val="008048A0"/>
    <w:rsid w:val="00805E33"/>
    <w:rsid w:val="00806697"/>
    <w:rsid w:val="008106DC"/>
    <w:rsid w:val="00810836"/>
    <w:rsid w:val="00810D04"/>
    <w:rsid w:val="00812976"/>
    <w:rsid w:val="00812CB3"/>
    <w:rsid w:val="00815037"/>
    <w:rsid w:val="00815B49"/>
    <w:rsid w:val="00815E06"/>
    <w:rsid w:val="008167A4"/>
    <w:rsid w:val="0081735A"/>
    <w:rsid w:val="00817AC8"/>
    <w:rsid w:val="00821303"/>
    <w:rsid w:val="0082165A"/>
    <w:rsid w:val="00821C9F"/>
    <w:rsid w:val="00821E40"/>
    <w:rsid w:val="0082482E"/>
    <w:rsid w:val="00826FEB"/>
    <w:rsid w:val="00827DEB"/>
    <w:rsid w:val="008305B4"/>
    <w:rsid w:val="00831227"/>
    <w:rsid w:val="00831737"/>
    <w:rsid w:val="00831A23"/>
    <w:rsid w:val="00832E88"/>
    <w:rsid w:val="00833447"/>
    <w:rsid w:val="00836832"/>
    <w:rsid w:val="00841315"/>
    <w:rsid w:val="0084151C"/>
    <w:rsid w:val="00842055"/>
    <w:rsid w:val="008423A9"/>
    <w:rsid w:val="00842C0D"/>
    <w:rsid w:val="00844F44"/>
    <w:rsid w:val="0084530C"/>
    <w:rsid w:val="00845592"/>
    <w:rsid w:val="008456EE"/>
    <w:rsid w:val="00846866"/>
    <w:rsid w:val="00846C31"/>
    <w:rsid w:val="008479BF"/>
    <w:rsid w:val="00850B8C"/>
    <w:rsid w:val="00850CC1"/>
    <w:rsid w:val="0085132D"/>
    <w:rsid w:val="00851784"/>
    <w:rsid w:val="0085280E"/>
    <w:rsid w:val="00853895"/>
    <w:rsid w:val="00854797"/>
    <w:rsid w:val="008548C4"/>
    <w:rsid w:val="0085624B"/>
    <w:rsid w:val="008568E4"/>
    <w:rsid w:val="00860303"/>
    <w:rsid w:val="0086335B"/>
    <w:rsid w:val="00863C67"/>
    <w:rsid w:val="00863E6A"/>
    <w:rsid w:val="00866A97"/>
    <w:rsid w:val="00867719"/>
    <w:rsid w:val="00867A06"/>
    <w:rsid w:val="0087099D"/>
    <w:rsid w:val="00871E69"/>
    <w:rsid w:val="00872262"/>
    <w:rsid w:val="00873530"/>
    <w:rsid w:val="00874564"/>
    <w:rsid w:val="00874E94"/>
    <w:rsid w:val="00876240"/>
    <w:rsid w:val="008766E9"/>
    <w:rsid w:val="00877DD2"/>
    <w:rsid w:val="0088033E"/>
    <w:rsid w:val="008832B3"/>
    <w:rsid w:val="00883E1B"/>
    <w:rsid w:val="00885006"/>
    <w:rsid w:val="00885482"/>
    <w:rsid w:val="00885750"/>
    <w:rsid w:val="00885A38"/>
    <w:rsid w:val="00885F08"/>
    <w:rsid w:val="00886576"/>
    <w:rsid w:val="00886609"/>
    <w:rsid w:val="008905B5"/>
    <w:rsid w:val="0089081F"/>
    <w:rsid w:val="00890A5C"/>
    <w:rsid w:val="008917EF"/>
    <w:rsid w:val="008919F9"/>
    <w:rsid w:val="0089320C"/>
    <w:rsid w:val="00894731"/>
    <w:rsid w:val="00895322"/>
    <w:rsid w:val="0089610D"/>
    <w:rsid w:val="008A0A46"/>
    <w:rsid w:val="008A1C38"/>
    <w:rsid w:val="008A2B55"/>
    <w:rsid w:val="008A2CE8"/>
    <w:rsid w:val="008A3144"/>
    <w:rsid w:val="008A348D"/>
    <w:rsid w:val="008A4C33"/>
    <w:rsid w:val="008A4F3C"/>
    <w:rsid w:val="008A5B05"/>
    <w:rsid w:val="008B102D"/>
    <w:rsid w:val="008B26AE"/>
    <w:rsid w:val="008B2831"/>
    <w:rsid w:val="008B7296"/>
    <w:rsid w:val="008C56FE"/>
    <w:rsid w:val="008C59E2"/>
    <w:rsid w:val="008C7844"/>
    <w:rsid w:val="008D0A89"/>
    <w:rsid w:val="008D0D5C"/>
    <w:rsid w:val="008D1B2B"/>
    <w:rsid w:val="008D2869"/>
    <w:rsid w:val="008D339B"/>
    <w:rsid w:val="008D439F"/>
    <w:rsid w:val="008D45AA"/>
    <w:rsid w:val="008D4B37"/>
    <w:rsid w:val="008D4BBB"/>
    <w:rsid w:val="008D650A"/>
    <w:rsid w:val="008E52D2"/>
    <w:rsid w:val="008E53BC"/>
    <w:rsid w:val="008E6081"/>
    <w:rsid w:val="008E641B"/>
    <w:rsid w:val="008E7880"/>
    <w:rsid w:val="008E7F7E"/>
    <w:rsid w:val="008F0353"/>
    <w:rsid w:val="008F272A"/>
    <w:rsid w:val="008F2BE8"/>
    <w:rsid w:val="008F4A73"/>
    <w:rsid w:val="008F66F8"/>
    <w:rsid w:val="008F74F3"/>
    <w:rsid w:val="008F7C75"/>
    <w:rsid w:val="00901CF5"/>
    <w:rsid w:val="00901F09"/>
    <w:rsid w:val="00902D3E"/>
    <w:rsid w:val="00903357"/>
    <w:rsid w:val="0090354A"/>
    <w:rsid w:val="00905D51"/>
    <w:rsid w:val="00906622"/>
    <w:rsid w:val="00911A3C"/>
    <w:rsid w:val="00911CB9"/>
    <w:rsid w:val="00913FC2"/>
    <w:rsid w:val="00917CB0"/>
    <w:rsid w:val="009213EE"/>
    <w:rsid w:val="0092408E"/>
    <w:rsid w:val="009244A0"/>
    <w:rsid w:val="00924A25"/>
    <w:rsid w:val="00925AD8"/>
    <w:rsid w:val="00926DAE"/>
    <w:rsid w:val="00927B87"/>
    <w:rsid w:val="009303EF"/>
    <w:rsid w:val="00931CE5"/>
    <w:rsid w:val="00934CC3"/>
    <w:rsid w:val="0093649D"/>
    <w:rsid w:val="0093661E"/>
    <w:rsid w:val="00937C69"/>
    <w:rsid w:val="00941193"/>
    <w:rsid w:val="00941EEC"/>
    <w:rsid w:val="00942F84"/>
    <w:rsid w:val="00943C2D"/>
    <w:rsid w:val="00944C67"/>
    <w:rsid w:val="00945AA4"/>
    <w:rsid w:val="0094791B"/>
    <w:rsid w:val="00950132"/>
    <w:rsid w:val="00950AC2"/>
    <w:rsid w:val="00950C19"/>
    <w:rsid w:val="009530AE"/>
    <w:rsid w:val="00953F57"/>
    <w:rsid w:val="00954F00"/>
    <w:rsid w:val="00954F49"/>
    <w:rsid w:val="00956B94"/>
    <w:rsid w:val="00957158"/>
    <w:rsid w:val="0095733C"/>
    <w:rsid w:val="009576B1"/>
    <w:rsid w:val="009600EA"/>
    <w:rsid w:val="0096011A"/>
    <w:rsid w:val="0096042F"/>
    <w:rsid w:val="0096119C"/>
    <w:rsid w:val="009624BA"/>
    <w:rsid w:val="00963D8B"/>
    <w:rsid w:val="00964952"/>
    <w:rsid w:val="009656E2"/>
    <w:rsid w:val="00966CF2"/>
    <w:rsid w:val="009677FC"/>
    <w:rsid w:val="00967F5D"/>
    <w:rsid w:val="00970454"/>
    <w:rsid w:val="0097185D"/>
    <w:rsid w:val="0097318F"/>
    <w:rsid w:val="00977AD5"/>
    <w:rsid w:val="009809B1"/>
    <w:rsid w:val="00980EEC"/>
    <w:rsid w:val="009810A7"/>
    <w:rsid w:val="00982460"/>
    <w:rsid w:val="009826A3"/>
    <w:rsid w:val="00982C5F"/>
    <w:rsid w:val="00982E8D"/>
    <w:rsid w:val="00984076"/>
    <w:rsid w:val="00986DB7"/>
    <w:rsid w:val="00990077"/>
    <w:rsid w:val="009903FA"/>
    <w:rsid w:val="00990817"/>
    <w:rsid w:val="0099147E"/>
    <w:rsid w:val="009930DD"/>
    <w:rsid w:val="009939D5"/>
    <w:rsid w:val="00996713"/>
    <w:rsid w:val="009A0541"/>
    <w:rsid w:val="009A1103"/>
    <w:rsid w:val="009A1EB1"/>
    <w:rsid w:val="009A2167"/>
    <w:rsid w:val="009A2E8C"/>
    <w:rsid w:val="009A5E85"/>
    <w:rsid w:val="009A669F"/>
    <w:rsid w:val="009B065C"/>
    <w:rsid w:val="009B1C34"/>
    <w:rsid w:val="009B28E2"/>
    <w:rsid w:val="009B6405"/>
    <w:rsid w:val="009B643F"/>
    <w:rsid w:val="009B6F0A"/>
    <w:rsid w:val="009C05B1"/>
    <w:rsid w:val="009C0B4E"/>
    <w:rsid w:val="009C173B"/>
    <w:rsid w:val="009C2EBA"/>
    <w:rsid w:val="009C45AB"/>
    <w:rsid w:val="009C5360"/>
    <w:rsid w:val="009C5390"/>
    <w:rsid w:val="009C61B6"/>
    <w:rsid w:val="009D2B19"/>
    <w:rsid w:val="009D2DD5"/>
    <w:rsid w:val="009D327C"/>
    <w:rsid w:val="009D3E92"/>
    <w:rsid w:val="009D69EF"/>
    <w:rsid w:val="009D6C05"/>
    <w:rsid w:val="009E4C1B"/>
    <w:rsid w:val="009E4D3D"/>
    <w:rsid w:val="009E5BA7"/>
    <w:rsid w:val="009E5D11"/>
    <w:rsid w:val="009E6587"/>
    <w:rsid w:val="009E7031"/>
    <w:rsid w:val="009E737B"/>
    <w:rsid w:val="009E7508"/>
    <w:rsid w:val="009E797B"/>
    <w:rsid w:val="009F024F"/>
    <w:rsid w:val="009F02FD"/>
    <w:rsid w:val="009F164E"/>
    <w:rsid w:val="009F349B"/>
    <w:rsid w:val="009F454F"/>
    <w:rsid w:val="009F5C43"/>
    <w:rsid w:val="009F68A8"/>
    <w:rsid w:val="009F7149"/>
    <w:rsid w:val="00A01931"/>
    <w:rsid w:val="00A01D04"/>
    <w:rsid w:val="00A01FAC"/>
    <w:rsid w:val="00A02024"/>
    <w:rsid w:val="00A0296C"/>
    <w:rsid w:val="00A029AA"/>
    <w:rsid w:val="00A02CC1"/>
    <w:rsid w:val="00A03569"/>
    <w:rsid w:val="00A04EF9"/>
    <w:rsid w:val="00A0559E"/>
    <w:rsid w:val="00A05B20"/>
    <w:rsid w:val="00A07F4F"/>
    <w:rsid w:val="00A10653"/>
    <w:rsid w:val="00A10BE2"/>
    <w:rsid w:val="00A11132"/>
    <w:rsid w:val="00A11350"/>
    <w:rsid w:val="00A117C1"/>
    <w:rsid w:val="00A1332D"/>
    <w:rsid w:val="00A14A0C"/>
    <w:rsid w:val="00A14B97"/>
    <w:rsid w:val="00A166ED"/>
    <w:rsid w:val="00A207A6"/>
    <w:rsid w:val="00A20B75"/>
    <w:rsid w:val="00A21040"/>
    <w:rsid w:val="00A2227C"/>
    <w:rsid w:val="00A223BB"/>
    <w:rsid w:val="00A22F2B"/>
    <w:rsid w:val="00A2359D"/>
    <w:rsid w:val="00A25363"/>
    <w:rsid w:val="00A26350"/>
    <w:rsid w:val="00A266AE"/>
    <w:rsid w:val="00A26E06"/>
    <w:rsid w:val="00A31B1E"/>
    <w:rsid w:val="00A337E1"/>
    <w:rsid w:val="00A34D26"/>
    <w:rsid w:val="00A36905"/>
    <w:rsid w:val="00A40401"/>
    <w:rsid w:val="00A4375A"/>
    <w:rsid w:val="00A43AA4"/>
    <w:rsid w:val="00A43E5C"/>
    <w:rsid w:val="00A4458D"/>
    <w:rsid w:val="00A44688"/>
    <w:rsid w:val="00A4669C"/>
    <w:rsid w:val="00A46948"/>
    <w:rsid w:val="00A47B5B"/>
    <w:rsid w:val="00A503C0"/>
    <w:rsid w:val="00A50C6B"/>
    <w:rsid w:val="00A510FD"/>
    <w:rsid w:val="00A517D2"/>
    <w:rsid w:val="00A518A8"/>
    <w:rsid w:val="00A520B2"/>
    <w:rsid w:val="00A535C3"/>
    <w:rsid w:val="00A53B0F"/>
    <w:rsid w:val="00A542D3"/>
    <w:rsid w:val="00A5450E"/>
    <w:rsid w:val="00A55161"/>
    <w:rsid w:val="00A600BE"/>
    <w:rsid w:val="00A605E2"/>
    <w:rsid w:val="00A61E45"/>
    <w:rsid w:val="00A630A3"/>
    <w:rsid w:val="00A63810"/>
    <w:rsid w:val="00A63D8F"/>
    <w:rsid w:val="00A64417"/>
    <w:rsid w:val="00A6568D"/>
    <w:rsid w:val="00A65D2E"/>
    <w:rsid w:val="00A6632E"/>
    <w:rsid w:val="00A67FC0"/>
    <w:rsid w:val="00A7042C"/>
    <w:rsid w:val="00A70434"/>
    <w:rsid w:val="00A706F9"/>
    <w:rsid w:val="00A73642"/>
    <w:rsid w:val="00A75131"/>
    <w:rsid w:val="00A76A7D"/>
    <w:rsid w:val="00A76CBC"/>
    <w:rsid w:val="00A771B7"/>
    <w:rsid w:val="00A81A05"/>
    <w:rsid w:val="00A81D8F"/>
    <w:rsid w:val="00A81E5F"/>
    <w:rsid w:val="00A842AE"/>
    <w:rsid w:val="00A86038"/>
    <w:rsid w:val="00A86984"/>
    <w:rsid w:val="00A90054"/>
    <w:rsid w:val="00A90890"/>
    <w:rsid w:val="00A918A2"/>
    <w:rsid w:val="00A97C56"/>
    <w:rsid w:val="00AA03FE"/>
    <w:rsid w:val="00AA1024"/>
    <w:rsid w:val="00AB0E55"/>
    <w:rsid w:val="00AB1450"/>
    <w:rsid w:val="00AB1DB7"/>
    <w:rsid w:val="00AB216F"/>
    <w:rsid w:val="00AB45E4"/>
    <w:rsid w:val="00AB4C8C"/>
    <w:rsid w:val="00AB5D5C"/>
    <w:rsid w:val="00AB7487"/>
    <w:rsid w:val="00AC0172"/>
    <w:rsid w:val="00AC0448"/>
    <w:rsid w:val="00AC0846"/>
    <w:rsid w:val="00AC29D1"/>
    <w:rsid w:val="00AC40FE"/>
    <w:rsid w:val="00AC5672"/>
    <w:rsid w:val="00AC7438"/>
    <w:rsid w:val="00AC7928"/>
    <w:rsid w:val="00AD0F64"/>
    <w:rsid w:val="00AD297C"/>
    <w:rsid w:val="00AD2C20"/>
    <w:rsid w:val="00AD4601"/>
    <w:rsid w:val="00AD4B13"/>
    <w:rsid w:val="00AD549E"/>
    <w:rsid w:val="00AD6206"/>
    <w:rsid w:val="00AD66E2"/>
    <w:rsid w:val="00AD7213"/>
    <w:rsid w:val="00AD79BA"/>
    <w:rsid w:val="00AE0B69"/>
    <w:rsid w:val="00AE142D"/>
    <w:rsid w:val="00AE30F0"/>
    <w:rsid w:val="00AE4DD0"/>
    <w:rsid w:val="00AE5EC3"/>
    <w:rsid w:val="00AE6491"/>
    <w:rsid w:val="00AE66CB"/>
    <w:rsid w:val="00AE71D0"/>
    <w:rsid w:val="00AE74F4"/>
    <w:rsid w:val="00AE7515"/>
    <w:rsid w:val="00AF1303"/>
    <w:rsid w:val="00AF1481"/>
    <w:rsid w:val="00AF2D4F"/>
    <w:rsid w:val="00AF3413"/>
    <w:rsid w:val="00AF5AD0"/>
    <w:rsid w:val="00AF694B"/>
    <w:rsid w:val="00B008D8"/>
    <w:rsid w:val="00B01B0D"/>
    <w:rsid w:val="00B050B3"/>
    <w:rsid w:val="00B06CFA"/>
    <w:rsid w:val="00B07068"/>
    <w:rsid w:val="00B07E87"/>
    <w:rsid w:val="00B1227A"/>
    <w:rsid w:val="00B12D70"/>
    <w:rsid w:val="00B149A6"/>
    <w:rsid w:val="00B16B6A"/>
    <w:rsid w:val="00B16B94"/>
    <w:rsid w:val="00B17636"/>
    <w:rsid w:val="00B17A1F"/>
    <w:rsid w:val="00B17FE6"/>
    <w:rsid w:val="00B2019A"/>
    <w:rsid w:val="00B2362A"/>
    <w:rsid w:val="00B23F63"/>
    <w:rsid w:val="00B23FD6"/>
    <w:rsid w:val="00B24EC0"/>
    <w:rsid w:val="00B251F1"/>
    <w:rsid w:val="00B30678"/>
    <w:rsid w:val="00B30724"/>
    <w:rsid w:val="00B325BA"/>
    <w:rsid w:val="00B32674"/>
    <w:rsid w:val="00B336EB"/>
    <w:rsid w:val="00B350A4"/>
    <w:rsid w:val="00B373CA"/>
    <w:rsid w:val="00B40FD2"/>
    <w:rsid w:val="00B421E2"/>
    <w:rsid w:val="00B42FD2"/>
    <w:rsid w:val="00B430F9"/>
    <w:rsid w:val="00B431B1"/>
    <w:rsid w:val="00B44A3D"/>
    <w:rsid w:val="00B45F04"/>
    <w:rsid w:val="00B476D8"/>
    <w:rsid w:val="00B50974"/>
    <w:rsid w:val="00B512E2"/>
    <w:rsid w:val="00B5170C"/>
    <w:rsid w:val="00B51B7B"/>
    <w:rsid w:val="00B53EC0"/>
    <w:rsid w:val="00B5504C"/>
    <w:rsid w:val="00B55B87"/>
    <w:rsid w:val="00B55D5D"/>
    <w:rsid w:val="00B60176"/>
    <w:rsid w:val="00B607C0"/>
    <w:rsid w:val="00B61268"/>
    <w:rsid w:val="00B63683"/>
    <w:rsid w:val="00B6474E"/>
    <w:rsid w:val="00B67326"/>
    <w:rsid w:val="00B70042"/>
    <w:rsid w:val="00B70A20"/>
    <w:rsid w:val="00B70D4C"/>
    <w:rsid w:val="00B72F8E"/>
    <w:rsid w:val="00B731E4"/>
    <w:rsid w:val="00B73BD1"/>
    <w:rsid w:val="00B74262"/>
    <w:rsid w:val="00B744EE"/>
    <w:rsid w:val="00B7629D"/>
    <w:rsid w:val="00B763E8"/>
    <w:rsid w:val="00B76C47"/>
    <w:rsid w:val="00B77AC8"/>
    <w:rsid w:val="00B77AE9"/>
    <w:rsid w:val="00B805F1"/>
    <w:rsid w:val="00B80D42"/>
    <w:rsid w:val="00B819D6"/>
    <w:rsid w:val="00B84365"/>
    <w:rsid w:val="00B91080"/>
    <w:rsid w:val="00B912CA"/>
    <w:rsid w:val="00B913E2"/>
    <w:rsid w:val="00B915CA"/>
    <w:rsid w:val="00B91B8A"/>
    <w:rsid w:val="00B92965"/>
    <w:rsid w:val="00B93CC6"/>
    <w:rsid w:val="00B96E69"/>
    <w:rsid w:val="00B97BA4"/>
    <w:rsid w:val="00B97F0A"/>
    <w:rsid w:val="00BA0967"/>
    <w:rsid w:val="00BA1883"/>
    <w:rsid w:val="00BA42FA"/>
    <w:rsid w:val="00BA46F8"/>
    <w:rsid w:val="00BA608C"/>
    <w:rsid w:val="00BA69D3"/>
    <w:rsid w:val="00BB1D9C"/>
    <w:rsid w:val="00BB2AB1"/>
    <w:rsid w:val="00BB3C95"/>
    <w:rsid w:val="00BB5A8E"/>
    <w:rsid w:val="00BB6557"/>
    <w:rsid w:val="00BB70CF"/>
    <w:rsid w:val="00BC0225"/>
    <w:rsid w:val="00BC2FC4"/>
    <w:rsid w:val="00BC3166"/>
    <w:rsid w:val="00BC4050"/>
    <w:rsid w:val="00BD118B"/>
    <w:rsid w:val="00BD1F27"/>
    <w:rsid w:val="00BD43E5"/>
    <w:rsid w:val="00BD5E9C"/>
    <w:rsid w:val="00BD6B77"/>
    <w:rsid w:val="00BD6CC5"/>
    <w:rsid w:val="00BD6D0C"/>
    <w:rsid w:val="00BF0177"/>
    <w:rsid w:val="00BF12A7"/>
    <w:rsid w:val="00BF13CD"/>
    <w:rsid w:val="00BF16FF"/>
    <w:rsid w:val="00BF2BF6"/>
    <w:rsid w:val="00BF33F1"/>
    <w:rsid w:val="00BF4956"/>
    <w:rsid w:val="00BF5DAC"/>
    <w:rsid w:val="00C00CED"/>
    <w:rsid w:val="00C02E99"/>
    <w:rsid w:val="00C03DF3"/>
    <w:rsid w:val="00C059F0"/>
    <w:rsid w:val="00C05B7C"/>
    <w:rsid w:val="00C07E0D"/>
    <w:rsid w:val="00C12C19"/>
    <w:rsid w:val="00C153AA"/>
    <w:rsid w:val="00C15C7A"/>
    <w:rsid w:val="00C16D72"/>
    <w:rsid w:val="00C210B2"/>
    <w:rsid w:val="00C21645"/>
    <w:rsid w:val="00C21E1B"/>
    <w:rsid w:val="00C228F3"/>
    <w:rsid w:val="00C237BB"/>
    <w:rsid w:val="00C23E2F"/>
    <w:rsid w:val="00C24FEF"/>
    <w:rsid w:val="00C269F8"/>
    <w:rsid w:val="00C3071D"/>
    <w:rsid w:val="00C32151"/>
    <w:rsid w:val="00C32166"/>
    <w:rsid w:val="00C33DB0"/>
    <w:rsid w:val="00C34564"/>
    <w:rsid w:val="00C35697"/>
    <w:rsid w:val="00C3642F"/>
    <w:rsid w:val="00C367BA"/>
    <w:rsid w:val="00C410BC"/>
    <w:rsid w:val="00C41678"/>
    <w:rsid w:val="00C41D8E"/>
    <w:rsid w:val="00C42A37"/>
    <w:rsid w:val="00C435F3"/>
    <w:rsid w:val="00C44C86"/>
    <w:rsid w:val="00C45465"/>
    <w:rsid w:val="00C4593F"/>
    <w:rsid w:val="00C45BBD"/>
    <w:rsid w:val="00C46073"/>
    <w:rsid w:val="00C46EED"/>
    <w:rsid w:val="00C46EF7"/>
    <w:rsid w:val="00C4723B"/>
    <w:rsid w:val="00C50227"/>
    <w:rsid w:val="00C503EF"/>
    <w:rsid w:val="00C53EE1"/>
    <w:rsid w:val="00C54831"/>
    <w:rsid w:val="00C61C08"/>
    <w:rsid w:val="00C664AC"/>
    <w:rsid w:val="00C67FB2"/>
    <w:rsid w:val="00C702F1"/>
    <w:rsid w:val="00C723DC"/>
    <w:rsid w:val="00C7286F"/>
    <w:rsid w:val="00C73934"/>
    <w:rsid w:val="00C73B93"/>
    <w:rsid w:val="00C7423F"/>
    <w:rsid w:val="00C76878"/>
    <w:rsid w:val="00C76F28"/>
    <w:rsid w:val="00C7721C"/>
    <w:rsid w:val="00C77A40"/>
    <w:rsid w:val="00C83EE0"/>
    <w:rsid w:val="00C84277"/>
    <w:rsid w:val="00C862F6"/>
    <w:rsid w:val="00C86B5A"/>
    <w:rsid w:val="00C86EAB"/>
    <w:rsid w:val="00C90222"/>
    <w:rsid w:val="00C9061E"/>
    <w:rsid w:val="00C9105B"/>
    <w:rsid w:val="00C9115E"/>
    <w:rsid w:val="00C921CB"/>
    <w:rsid w:val="00C925F8"/>
    <w:rsid w:val="00C94C1F"/>
    <w:rsid w:val="00C95685"/>
    <w:rsid w:val="00C96340"/>
    <w:rsid w:val="00C97238"/>
    <w:rsid w:val="00CA143A"/>
    <w:rsid w:val="00CA1F24"/>
    <w:rsid w:val="00CA32FC"/>
    <w:rsid w:val="00CA5985"/>
    <w:rsid w:val="00CB02C5"/>
    <w:rsid w:val="00CB2750"/>
    <w:rsid w:val="00CB3CF3"/>
    <w:rsid w:val="00CB4CAC"/>
    <w:rsid w:val="00CB6522"/>
    <w:rsid w:val="00CB719B"/>
    <w:rsid w:val="00CC113B"/>
    <w:rsid w:val="00CC1D12"/>
    <w:rsid w:val="00CC23F1"/>
    <w:rsid w:val="00CC31AC"/>
    <w:rsid w:val="00CC3FF0"/>
    <w:rsid w:val="00CC5676"/>
    <w:rsid w:val="00CC596F"/>
    <w:rsid w:val="00CC7F7C"/>
    <w:rsid w:val="00CD091D"/>
    <w:rsid w:val="00CD175E"/>
    <w:rsid w:val="00CD357A"/>
    <w:rsid w:val="00CD636C"/>
    <w:rsid w:val="00CD6D15"/>
    <w:rsid w:val="00CE068D"/>
    <w:rsid w:val="00CE21DF"/>
    <w:rsid w:val="00CE2830"/>
    <w:rsid w:val="00CE2A94"/>
    <w:rsid w:val="00CE44D3"/>
    <w:rsid w:val="00CE45B6"/>
    <w:rsid w:val="00CE5D6F"/>
    <w:rsid w:val="00CE759C"/>
    <w:rsid w:val="00CF0812"/>
    <w:rsid w:val="00CF2843"/>
    <w:rsid w:val="00CF2A90"/>
    <w:rsid w:val="00CF4D24"/>
    <w:rsid w:val="00CF6969"/>
    <w:rsid w:val="00D001AB"/>
    <w:rsid w:val="00D013E8"/>
    <w:rsid w:val="00D014C0"/>
    <w:rsid w:val="00D016BB"/>
    <w:rsid w:val="00D027E6"/>
    <w:rsid w:val="00D0292B"/>
    <w:rsid w:val="00D03190"/>
    <w:rsid w:val="00D03AB0"/>
    <w:rsid w:val="00D04CD9"/>
    <w:rsid w:val="00D0633A"/>
    <w:rsid w:val="00D07B9C"/>
    <w:rsid w:val="00D10015"/>
    <w:rsid w:val="00D1191F"/>
    <w:rsid w:val="00D11BBF"/>
    <w:rsid w:val="00D12899"/>
    <w:rsid w:val="00D15EE8"/>
    <w:rsid w:val="00D16B73"/>
    <w:rsid w:val="00D17A02"/>
    <w:rsid w:val="00D217E3"/>
    <w:rsid w:val="00D252F3"/>
    <w:rsid w:val="00D25879"/>
    <w:rsid w:val="00D27986"/>
    <w:rsid w:val="00D27992"/>
    <w:rsid w:val="00D308E9"/>
    <w:rsid w:val="00D31D84"/>
    <w:rsid w:val="00D33D5D"/>
    <w:rsid w:val="00D347AC"/>
    <w:rsid w:val="00D35BDE"/>
    <w:rsid w:val="00D35F30"/>
    <w:rsid w:val="00D376DC"/>
    <w:rsid w:val="00D37C65"/>
    <w:rsid w:val="00D401AC"/>
    <w:rsid w:val="00D4065D"/>
    <w:rsid w:val="00D41E14"/>
    <w:rsid w:val="00D41F91"/>
    <w:rsid w:val="00D4223C"/>
    <w:rsid w:val="00D4308E"/>
    <w:rsid w:val="00D43656"/>
    <w:rsid w:val="00D436AE"/>
    <w:rsid w:val="00D43853"/>
    <w:rsid w:val="00D43B60"/>
    <w:rsid w:val="00D4478F"/>
    <w:rsid w:val="00D4574C"/>
    <w:rsid w:val="00D46996"/>
    <w:rsid w:val="00D47394"/>
    <w:rsid w:val="00D517A6"/>
    <w:rsid w:val="00D549D7"/>
    <w:rsid w:val="00D5540C"/>
    <w:rsid w:val="00D57FAF"/>
    <w:rsid w:val="00D60043"/>
    <w:rsid w:val="00D60137"/>
    <w:rsid w:val="00D6013C"/>
    <w:rsid w:val="00D6028E"/>
    <w:rsid w:val="00D60A2A"/>
    <w:rsid w:val="00D62796"/>
    <w:rsid w:val="00D62D8F"/>
    <w:rsid w:val="00D641D9"/>
    <w:rsid w:val="00D64C00"/>
    <w:rsid w:val="00D66468"/>
    <w:rsid w:val="00D66713"/>
    <w:rsid w:val="00D669C1"/>
    <w:rsid w:val="00D674EF"/>
    <w:rsid w:val="00D729BC"/>
    <w:rsid w:val="00D75FE9"/>
    <w:rsid w:val="00D77B0A"/>
    <w:rsid w:val="00D80B2B"/>
    <w:rsid w:val="00D815A2"/>
    <w:rsid w:val="00D8201F"/>
    <w:rsid w:val="00D82D43"/>
    <w:rsid w:val="00D83D55"/>
    <w:rsid w:val="00D840F5"/>
    <w:rsid w:val="00D844B5"/>
    <w:rsid w:val="00D84FD5"/>
    <w:rsid w:val="00D857E1"/>
    <w:rsid w:val="00D86C43"/>
    <w:rsid w:val="00D903AF"/>
    <w:rsid w:val="00D9073A"/>
    <w:rsid w:val="00D90A5F"/>
    <w:rsid w:val="00D90D02"/>
    <w:rsid w:val="00D90FEE"/>
    <w:rsid w:val="00D9235A"/>
    <w:rsid w:val="00D93220"/>
    <w:rsid w:val="00D93D3C"/>
    <w:rsid w:val="00D9458A"/>
    <w:rsid w:val="00DA0185"/>
    <w:rsid w:val="00DA0B30"/>
    <w:rsid w:val="00DA2A75"/>
    <w:rsid w:val="00DA3928"/>
    <w:rsid w:val="00DA6179"/>
    <w:rsid w:val="00DA64B3"/>
    <w:rsid w:val="00DA6DCE"/>
    <w:rsid w:val="00DA7EDC"/>
    <w:rsid w:val="00DB069E"/>
    <w:rsid w:val="00DB149C"/>
    <w:rsid w:val="00DB150E"/>
    <w:rsid w:val="00DB35BB"/>
    <w:rsid w:val="00DB38B7"/>
    <w:rsid w:val="00DB3B61"/>
    <w:rsid w:val="00DB469B"/>
    <w:rsid w:val="00DB6B0F"/>
    <w:rsid w:val="00DB75DA"/>
    <w:rsid w:val="00DC0340"/>
    <w:rsid w:val="00DC42AE"/>
    <w:rsid w:val="00DC504C"/>
    <w:rsid w:val="00DC516A"/>
    <w:rsid w:val="00DC5785"/>
    <w:rsid w:val="00DC5F09"/>
    <w:rsid w:val="00DC6DBF"/>
    <w:rsid w:val="00DC708B"/>
    <w:rsid w:val="00DC7B48"/>
    <w:rsid w:val="00DD0A4D"/>
    <w:rsid w:val="00DD0B40"/>
    <w:rsid w:val="00DD0C7A"/>
    <w:rsid w:val="00DD2B00"/>
    <w:rsid w:val="00DD30E8"/>
    <w:rsid w:val="00DD31A0"/>
    <w:rsid w:val="00DD472B"/>
    <w:rsid w:val="00DD6015"/>
    <w:rsid w:val="00DD7021"/>
    <w:rsid w:val="00DE024E"/>
    <w:rsid w:val="00DE1091"/>
    <w:rsid w:val="00DE1B3D"/>
    <w:rsid w:val="00DE20CE"/>
    <w:rsid w:val="00DE795F"/>
    <w:rsid w:val="00DF203F"/>
    <w:rsid w:val="00DF2225"/>
    <w:rsid w:val="00DF586D"/>
    <w:rsid w:val="00DF5A63"/>
    <w:rsid w:val="00E00F17"/>
    <w:rsid w:val="00E00F82"/>
    <w:rsid w:val="00E0132A"/>
    <w:rsid w:val="00E01CC2"/>
    <w:rsid w:val="00E04123"/>
    <w:rsid w:val="00E05078"/>
    <w:rsid w:val="00E059FF"/>
    <w:rsid w:val="00E0723B"/>
    <w:rsid w:val="00E07BE1"/>
    <w:rsid w:val="00E07D3E"/>
    <w:rsid w:val="00E10667"/>
    <w:rsid w:val="00E11731"/>
    <w:rsid w:val="00E20DDF"/>
    <w:rsid w:val="00E269F1"/>
    <w:rsid w:val="00E27718"/>
    <w:rsid w:val="00E303D3"/>
    <w:rsid w:val="00E31655"/>
    <w:rsid w:val="00E31808"/>
    <w:rsid w:val="00E34615"/>
    <w:rsid w:val="00E351D2"/>
    <w:rsid w:val="00E3582A"/>
    <w:rsid w:val="00E37E41"/>
    <w:rsid w:val="00E41118"/>
    <w:rsid w:val="00E42E31"/>
    <w:rsid w:val="00E46422"/>
    <w:rsid w:val="00E46711"/>
    <w:rsid w:val="00E5068F"/>
    <w:rsid w:val="00E515F4"/>
    <w:rsid w:val="00E53DC9"/>
    <w:rsid w:val="00E5408D"/>
    <w:rsid w:val="00E54A92"/>
    <w:rsid w:val="00E56559"/>
    <w:rsid w:val="00E574B1"/>
    <w:rsid w:val="00E57F0B"/>
    <w:rsid w:val="00E62686"/>
    <w:rsid w:val="00E6411D"/>
    <w:rsid w:val="00E64223"/>
    <w:rsid w:val="00E650C7"/>
    <w:rsid w:val="00E6682E"/>
    <w:rsid w:val="00E66BFF"/>
    <w:rsid w:val="00E67FEA"/>
    <w:rsid w:val="00E70405"/>
    <w:rsid w:val="00E70BA7"/>
    <w:rsid w:val="00E71593"/>
    <w:rsid w:val="00E7230A"/>
    <w:rsid w:val="00E725A1"/>
    <w:rsid w:val="00E75C1C"/>
    <w:rsid w:val="00E80EFD"/>
    <w:rsid w:val="00E81D41"/>
    <w:rsid w:val="00E83CDB"/>
    <w:rsid w:val="00E85097"/>
    <w:rsid w:val="00E8766E"/>
    <w:rsid w:val="00E9050C"/>
    <w:rsid w:val="00E91922"/>
    <w:rsid w:val="00E9308D"/>
    <w:rsid w:val="00E93147"/>
    <w:rsid w:val="00E95EC1"/>
    <w:rsid w:val="00E95F70"/>
    <w:rsid w:val="00E96CB7"/>
    <w:rsid w:val="00EA114A"/>
    <w:rsid w:val="00EA1319"/>
    <w:rsid w:val="00EA1E17"/>
    <w:rsid w:val="00EA2353"/>
    <w:rsid w:val="00EA466F"/>
    <w:rsid w:val="00EA5AF4"/>
    <w:rsid w:val="00EA66F9"/>
    <w:rsid w:val="00EA7DDF"/>
    <w:rsid w:val="00EB0659"/>
    <w:rsid w:val="00EB0C24"/>
    <w:rsid w:val="00EB0CC1"/>
    <w:rsid w:val="00EB1BAE"/>
    <w:rsid w:val="00EB1F78"/>
    <w:rsid w:val="00EB23BB"/>
    <w:rsid w:val="00EB69CD"/>
    <w:rsid w:val="00EB77DB"/>
    <w:rsid w:val="00EB7988"/>
    <w:rsid w:val="00EC1818"/>
    <w:rsid w:val="00EC252C"/>
    <w:rsid w:val="00EC5B5F"/>
    <w:rsid w:val="00EC5B84"/>
    <w:rsid w:val="00EC60BF"/>
    <w:rsid w:val="00EC6476"/>
    <w:rsid w:val="00EC703C"/>
    <w:rsid w:val="00EC7C2F"/>
    <w:rsid w:val="00ED1146"/>
    <w:rsid w:val="00ED14FD"/>
    <w:rsid w:val="00ED3B3D"/>
    <w:rsid w:val="00ED49CD"/>
    <w:rsid w:val="00ED52EC"/>
    <w:rsid w:val="00ED7B35"/>
    <w:rsid w:val="00EE03DD"/>
    <w:rsid w:val="00EE07EB"/>
    <w:rsid w:val="00EE08E2"/>
    <w:rsid w:val="00EE1B34"/>
    <w:rsid w:val="00EE339B"/>
    <w:rsid w:val="00EE40A6"/>
    <w:rsid w:val="00EE4A98"/>
    <w:rsid w:val="00EE520A"/>
    <w:rsid w:val="00EE6604"/>
    <w:rsid w:val="00EE6D4D"/>
    <w:rsid w:val="00EE71EC"/>
    <w:rsid w:val="00EF066E"/>
    <w:rsid w:val="00EF1416"/>
    <w:rsid w:val="00EF2E67"/>
    <w:rsid w:val="00EF31E5"/>
    <w:rsid w:val="00EF67FB"/>
    <w:rsid w:val="00EF6DFF"/>
    <w:rsid w:val="00EF6FCE"/>
    <w:rsid w:val="00F0054E"/>
    <w:rsid w:val="00F00820"/>
    <w:rsid w:val="00F01462"/>
    <w:rsid w:val="00F02BF4"/>
    <w:rsid w:val="00F032A6"/>
    <w:rsid w:val="00F072E2"/>
    <w:rsid w:val="00F0747B"/>
    <w:rsid w:val="00F07A18"/>
    <w:rsid w:val="00F1064D"/>
    <w:rsid w:val="00F11720"/>
    <w:rsid w:val="00F12D53"/>
    <w:rsid w:val="00F13F90"/>
    <w:rsid w:val="00F16D8C"/>
    <w:rsid w:val="00F22BF2"/>
    <w:rsid w:val="00F25288"/>
    <w:rsid w:val="00F25C36"/>
    <w:rsid w:val="00F26C0D"/>
    <w:rsid w:val="00F272BD"/>
    <w:rsid w:val="00F309AA"/>
    <w:rsid w:val="00F31776"/>
    <w:rsid w:val="00F31ECE"/>
    <w:rsid w:val="00F32C95"/>
    <w:rsid w:val="00F34E98"/>
    <w:rsid w:val="00F35534"/>
    <w:rsid w:val="00F36F65"/>
    <w:rsid w:val="00F37FF9"/>
    <w:rsid w:val="00F4195D"/>
    <w:rsid w:val="00F41DFE"/>
    <w:rsid w:val="00F4415A"/>
    <w:rsid w:val="00F445AF"/>
    <w:rsid w:val="00F45388"/>
    <w:rsid w:val="00F45E98"/>
    <w:rsid w:val="00F47EDD"/>
    <w:rsid w:val="00F53776"/>
    <w:rsid w:val="00F538C8"/>
    <w:rsid w:val="00F559A2"/>
    <w:rsid w:val="00F56ADF"/>
    <w:rsid w:val="00F6223D"/>
    <w:rsid w:val="00F64317"/>
    <w:rsid w:val="00F66751"/>
    <w:rsid w:val="00F676DD"/>
    <w:rsid w:val="00F74A7D"/>
    <w:rsid w:val="00F77072"/>
    <w:rsid w:val="00F77279"/>
    <w:rsid w:val="00F778D2"/>
    <w:rsid w:val="00F815F0"/>
    <w:rsid w:val="00F81E5A"/>
    <w:rsid w:val="00F820A3"/>
    <w:rsid w:val="00F83792"/>
    <w:rsid w:val="00F8468D"/>
    <w:rsid w:val="00F855B9"/>
    <w:rsid w:val="00F877D3"/>
    <w:rsid w:val="00F878BF"/>
    <w:rsid w:val="00F87A4E"/>
    <w:rsid w:val="00F87F90"/>
    <w:rsid w:val="00F90C5B"/>
    <w:rsid w:val="00F90FC5"/>
    <w:rsid w:val="00F917FA"/>
    <w:rsid w:val="00F91E61"/>
    <w:rsid w:val="00F92240"/>
    <w:rsid w:val="00F93362"/>
    <w:rsid w:val="00F94F19"/>
    <w:rsid w:val="00F951F3"/>
    <w:rsid w:val="00F969CF"/>
    <w:rsid w:val="00F97BDE"/>
    <w:rsid w:val="00F97F28"/>
    <w:rsid w:val="00FA1AB2"/>
    <w:rsid w:val="00FA3103"/>
    <w:rsid w:val="00FA58E8"/>
    <w:rsid w:val="00FA61AD"/>
    <w:rsid w:val="00FA7040"/>
    <w:rsid w:val="00FB0600"/>
    <w:rsid w:val="00FB176F"/>
    <w:rsid w:val="00FB39DB"/>
    <w:rsid w:val="00FB4BCC"/>
    <w:rsid w:val="00FB5C73"/>
    <w:rsid w:val="00FB6A60"/>
    <w:rsid w:val="00FB7BD8"/>
    <w:rsid w:val="00FC0146"/>
    <w:rsid w:val="00FC06B0"/>
    <w:rsid w:val="00FC450D"/>
    <w:rsid w:val="00FC5356"/>
    <w:rsid w:val="00FC7D3A"/>
    <w:rsid w:val="00FD089E"/>
    <w:rsid w:val="00FD1767"/>
    <w:rsid w:val="00FD184C"/>
    <w:rsid w:val="00FD2F1E"/>
    <w:rsid w:val="00FD3262"/>
    <w:rsid w:val="00FD3B73"/>
    <w:rsid w:val="00FD4CE4"/>
    <w:rsid w:val="00FD6361"/>
    <w:rsid w:val="00FD66C6"/>
    <w:rsid w:val="00FD6CD7"/>
    <w:rsid w:val="00FD72C3"/>
    <w:rsid w:val="00FE4A76"/>
    <w:rsid w:val="00FE4A92"/>
    <w:rsid w:val="00FE5E58"/>
    <w:rsid w:val="00FE7686"/>
    <w:rsid w:val="00FF0D24"/>
    <w:rsid w:val="00FF404C"/>
    <w:rsid w:val="00FF4222"/>
    <w:rsid w:val="00FF4BA1"/>
    <w:rsid w:val="00FF5E7F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2D96"/>
  <w14:defaultImageDpi w14:val="32767"/>
  <w15:chartTrackingRefBased/>
  <w15:docId w15:val="{95518F4B-B4E8-4D7E-BA64-57FC48A6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F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FAB"/>
  </w:style>
  <w:style w:type="paragraph" w:styleId="Footer">
    <w:name w:val="footer"/>
    <w:basedOn w:val="Normal"/>
    <w:link w:val="FooterChar"/>
    <w:uiPriority w:val="99"/>
    <w:unhideWhenUsed/>
    <w:rsid w:val="00122F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FAB"/>
  </w:style>
  <w:style w:type="character" w:styleId="PageNumber">
    <w:name w:val="page number"/>
    <w:basedOn w:val="DefaultParagraphFont"/>
    <w:uiPriority w:val="99"/>
    <w:semiHidden/>
    <w:unhideWhenUsed/>
    <w:rsid w:val="00122FAB"/>
  </w:style>
  <w:style w:type="character" w:styleId="Hyperlink">
    <w:name w:val="Hyperlink"/>
    <w:basedOn w:val="DefaultParagraphFont"/>
    <w:uiPriority w:val="99"/>
    <w:unhideWhenUsed/>
    <w:rsid w:val="00C4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5B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E6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097B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4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49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E08E2"/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21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21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218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0B6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E74A2DC13A44CA2E647B3B7D48673" ma:contentTypeVersion="6" ma:contentTypeDescription="Create a new document." ma:contentTypeScope="" ma:versionID="82a69a74425399e2c7f84182b3d9937d">
  <xsd:schema xmlns:xsd="http://www.w3.org/2001/XMLSchema" xmlns:xs="http://www.w3.org/2001/XMLSchema" xmlns:p="http://schemas.microsoft.com/office/2006/metadata/properties" xmlns:ns2="67c9a24d-a5c8-4264-81a6-ba382496f539" xmlns:ns3="7ad5d723-b6e9-483d-b10f-aa5f706d56bf" targetNamespace="http://schemas.microsoft.com/office/2006/metadata/properties" ma:root="true" ma:fieldsID="56ba73072247f02ca7e0ade37fe69934" ns2:_="" ns3:_="">
    <xsd:import namespace="67c9a24d-a5c8-4264-81a6-ba382496f539"/>
    <xsd:import namespace="7ad5d723-b6e9-483d-b10f-aa5f706d5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9a24d-a5c8-4264-81a6-ba382496f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5d723-b6e9-483d-b10f-aa5f706d5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63864-6F6A-46ED-BBFE-A6BE5AA0FE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BB2357-9ED5-4EB4-B2A2-0F936649C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9a24d-a5c8-4264-81a6-ba382496f539"/>
    <ds:schemaRef ds:uri="7ad5d723-b6e9-483d-b10f-aa5f706d5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DB6837-7D1F-4B11-896E-F7F828C583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529F35-378B-4BB1-9561-F148BD8923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13192</TotalTime>
  <Pages>8</Pages>
  <Words>2862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Links>
    <vt:vector size="12" baseType="variant">
      <vt:variant>
        <vt:i4>5308484</vt:i4>
      </vt:variant>
      <vt:variant>
        <vt:i4>3</vt:i4>
      </vt:variant>
      <vt:variant>
        <vt:i4>0</vt:i4>
      </vt:variant>
      <vt:variant>
        <vt:i4>5</vt:i4>
      </vt:variant>
      <vt:variant>
        <vt:lpwstr>https://www.ons.gov.uk/businessindustryandtrade/internationaltrade/datasets/uktradeinservicesservicetypebypartnercountrynonseasonallyadjusted</vt:lpwstr>
      </vt:variant>
      <vt:variant>
        <vt:lpwstr/>
      </vt:variant>
      <vt:variant>
        <vt:i4>7274598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https://ec.europa.eu/eurostat/web/international-trade-in-services/database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Eberhardt</dc:creator>
  <cp:keywords/>
  <dc:description/>
  <cp:lastModifiedBy>Oliver Trotman</cp:lastModifiedBy>
  <cp:revision>1528</cp:revision>
  <cp:lastPrinted>2024-12-02T19:53:00Z</cp:lastPrinted>
  <dcterms:created xsi:type="dcterms:W3CDTF">2024-11-05T01:20:00Z</dcterms:created>
  <dcterms:modified xsi:type="dcterms:W3CDTF">2024-12-03T13:46:00Z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0x0101009F1E74A2DC13A44CA2E647B3B7D48673</vt:lpwstr>
  </property>
</Properties>
</file>