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 for NY Presentation</w:t>
      </w:r>
    </w:p>
    <w:p w:rsidR="00000000" w:rsidDel="00000000" w:rsidP="00000000" w:rsidRDefault="00000000" w:rsidRPr="00000000" w14:paraId="00000002">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Introductions</w:t>
      </w:r>
    </w:p>
    <w:p w:rsidR="00000000" w:rsidDel="00000000" w:rsidP="00000000" w:rsidRDefault="00000000" w:rsidRPr="00000000" w14:paraId="00000003">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w:t>
      </w:r>
    </w:p>
    <w:p w:rsidR="00000000" w:rsidDel="00000000" w:rsidP="00000000" w:rsidRDefault="00000000" w:rsidRPr="00000000" w14:paraId="0000000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a group of four Business Analytics and Data Science students at Saint Mary’s College of California based in Moraga. Our poster title is, “Public Sector Debt and Economic Indicators:</w:t>
      </w:r>
    </w:p>
    <w:p w:rsidR="00000000" w:rsidDel="00000000" w:rsidP="00000000" w:rsidRDefault="00000000" w:rsidRPr="00000000" w14:paraId="0000000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Real Estate Potential” and our research question is, “How do </w:t>
      </w:r>
      <w:r w:rsidDel="00000000" w:rsidR="00000000" w:rsidRPr="00000000">
        <w:rPr>
          <w:rFonts w:ascii="Times New Roman" w:cs="Times New Roman" w:eastAsia="Times New Roman" w:hAnsi="Times New Roman"/>
          <w:b w:val="1"/>
          <w:bCs w:val="1"/>
          <w:sz w:val="24"/>
          <w:szCs w:val="24"/>
          <w:rtl w:val="0"/>
        </w:rPr>
        <w:t xml:space="preserve">projections</w:t>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Times New Roman" w:cs="Times New Roman" w:eastAsia="Times New Roman" w:hAnsi="Times New Roman"/>
          <w:b w:val="1"/>
          <w:bCs w:val="1"/>
          <w:sz w:val="24"/>
          <w:szCs w:val="24"/>
          <w:rtl w:val="0"/>
        </w:rPr>
        <w:t xml:space="preserve">public sector debt</w:t>
      </w:r>
      <w:r w:rsidDel="00000000" w:rsidR="00000000" w:rsidRPr="00000000">
        <w:rPr>
          <w:rFonts w:ascii="Times New Roman" w:cs="Times New Roman" w:eastAsia="Times New Roman" w:hAnsi="Times New Roman"/>
          <w:sz w:val="24"/>
          <w:szCs w:val="24"/>
          <w:rtl w:val="0"/>
        </w:rPr>
        <w:t xml:space="preserve"> through 2030, based on</w:t>
      </w:r>
      <w:r w:rsidDel="00000000" w:rsidR="00000000" w:rsidRPr="00000000">
        <w:rPr>
          <w:rFonts w:ascii="Times New Roman" w:cs="Times New Roman" w:eastAsia="Times New Roman" w:hAnsi="Times New Roman"/>
          <w:b w:val="1"/>
          <w:bCs w:val="1"/>
          <w:sz w:val="24"/>
          <w:szCs w:val="24"/>
          <w:rtl w:val="0"/>
        </w:rPr>
        <w:t xml:space="preserve"> key economic indicators</w:t>
      </w:r>
      <w:r w:rsidDel="00000000" w:rsidR="00000000" w:rsidRPr="00000000">
        <w:rPr>
          <w:rFonts w:ascii="Times New Roman" w:cs="Times New Roman" w:eastAsia="Times New Roman" w:hAnsi="Times New Roman"/>
          <w:sz w:val="24"/>
          <w:szCs w:val="24"/>
          <w:rtl w:val="0"/>
        </w:rPr>
        <w:t xml:space="preserve">, guide strategic</w:t>
      </w:r>
      <w:r w:rsidDel="00000000" w:rsidR="00000000" w:rsidRPr="00000000">
        <w:rPr>
          <w:rFonts w:ascii="Times New Roman" w:cs="Times New Roman" w:eastAsia="Times New Roman" w:hAnsi="Times New Roman"/>
          <w:b w:val="1"/>
          <w:bCs w:val="1"/>
          <w:sz w:val="24"/>
          <w:szCs w:val="24"/>
          <w:rtl w:val="0"/>
        </w:rPr>
        <w:t xml:space="preserve"> long-term real estate investments in debt-resilient</w:t>
      </w:r>
      <w:r w:rsidDel="00000000" w:rsidR="00000000" w:rsidRPr="00000000">
        <w:rPr>
          <w:rFonts w:ascii="Times New Roman" w:cs="Times New Roman" w:eastAsia="Times New Roman" w:hAnsi="Times New Roman"/>
          <w:sz w:val="24"/>
          <w:szCs w:val="24"/>
          <w:rtl w:val="0"/>
        </w:rPr>
        <w:t xml:space="preserve"> OECD countries?</w:t>
      </w:r>
    </w:p>
    <w:p w:rsidR="00000000" w:rsidDel="00000000" w:rsidP="00000000" w:rsidRDefault="00000000" w:rsidRPr="00000000" w14:paraId="00000007">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research question was chosen because the two investment managers at Horizon Development, Sage Wright and Alex Bond, were curious about investigating the IMF’s projection that public sector debt will reach $100 trillion by 2030. Additionally, to best support Horizon D development’s efforts at expanding into a new international market, we will investigate how public sector debt affects key economic indicators and the long-term investment viability of OECD countries.</w:t>
      </w:r>
    </w:p>
    <w:p w:rsidR="00000000" w:rsidDel="00000000" w:rsidP="00000000" w:rsidRDefault="00000000" w:rsidRPr="00000000" w14:paraId="00000009">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methodology is as follows, Data Collection &amp; Analysis, Trend Analysis, Regression &amp; Feature Analysis, PCA and Clustering, Forecasting, and Recommendations</w:t>
      </w:r>
    </w:p>
    <w:p w:rsidR="00000000" w:rsidDel="00000000" w:rsidP="00000000" w:rsidRDefault="00000000" w:rsidRPr="00000000" w14:paraId="0000000B">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data was primarily sourced from the World Bank Data Bank as provided by BAC for the OECD countries from 2010 to 2023. A total of 19 factors were used, including Total Labor Force, Inflation Rate, Unemployment Rate, GDP per Capita, and Population Growth. Two features were sourced externally, with Corruption Perceptions Index from Transparency International and Average Wages from OECD.</w:t>
      </w:r>
    </w:p>
    <w:p w:rsidR="00000000" w:rsidDel="00000000" w:rsidP="00000000" w:rsidRDefault="00000000" w:rsidRPr="00000000" w14:paraId="0000000D">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our limitations were that Certain indicators considered insignificant, such as interest rates, are still important to consider for real estate investment and that there was Limited access to real estate or construction data</w:t>
      </w:r>
    </w:p>
    <w:p w:rsidR="00000000" w:rsidDel="00000000" w:rsidP="00000000" w:rsidRDefault="00000000" w:rsidRPr="00000000" w14:paraId="0000000F">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Title of Presentation: </w:t>
      </w:r>
    </w:p>
    <w:p w:rsidR="00000000" w:rsidDel="00000000" w:rsidP="00000000" w:rsidRDefault="00000000" w:rsidRPr="00000000" w14:paraId="00000013">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Research Question</w:t>
      </w:r>
    </w:p>
    <w:p w:rsidR="00000000" w:rsidDel="00000000" w:rsidP="00000000" w:rsidRDefault="00000000" w:rsidRPr="00000000" w14:paraId="00000014">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Methodology</w:t>
      </w:r>
    </w:p>
    <w:p w:rsidR="00000000" w:rsidDel="00000000" w:rsidP="00000000" w:rsidRDefault="00000000" w:rsidRPr="00000000" w14:paraId="00000015">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&amp; Limitations</w:t>
      </w:r>
    </w:p>
    <w:p w:rsidR="00000000" w:rsidDel="00000000" w:rsidP="00000000" w:rsidRDefault="00000000" w:rsidRPr="00000000" w14:paraId="0000001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Nolan</w:t>
      </w:r>
    </w:p>
    <w:p w:rsidR="00000000" w:rsidDel="00000000" w:rsidP="00000000" w:rsidRDefault="00000000" w:rsidRPr="00000000" w14:paraId="00000018">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With our data being from years 2010-2023, there has been a lot of economic uncertainty from events such as the Eurozone Crisis and Covid. Therefore, countries have faced a lot of pressure with rising debt levels. To identify which countries have managed their debt levels well, we ran k-means clustering. Using all 19 factors and Debt-to-GDP as our target variable, we grouped countries into two tiers.  Tier 1 countries have proven debt resilience through strong economic performance. Tier 2 countries were identified as underperforming in a lot of economic areas and not debt resilient. We decided to drop tier 2 countries and focus on the stronger tier 1. This reduced outliers and made our data more accurate. </w:t>
      </w:r>
    </w:p>
    <w:p w:rsidR="00000000" w:rsidDel="00000000" w:rsidP="00000000" w:rsidRDefault="00000000" w:rsidRPr="00000000" w14:paraId="00000019">
      <w:pPr>
        <w:spacing w:line="480" w:lineRule="auto"/>
        <w:rPr>
          <w:rFonts w:ascii="Times" w:cs="Times" w:eastAsia="Times" w:hAnsi="Times"/>
          <w:sz w:val="26"/>
          <w:szCs w:val="26"/>
        </w:rPr>
      </w:pPr>
      <w:r w:rsidDel="00000000" w:rsidR="00000000" w:rsidRPr="00000000">
        <w:rPr>
          <w:rFonts w:ascii="Times" w:cs="Times" w:eastAsia="Times" w:hAnsi="Times"/>
          <w:sz w:val="24"/>
          <w:szCs w:val="24"/>
          <w:rtl w:val="0"/>
        </w:rPr>
        <w:t xml:space="preserve">Using linear regression, we looked at all 19 factors to see which were the key drivers of debt. Seven factors stood out as significant with p-values less than 0.05 and VIF under 10. These factors include labor force, inflation, unemployment, population, wage, GDP per capita, and corruption. These factors were used in a predictive model to forecast debt levels to 2030 achieving an adjusted r squared on 0.71.</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