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jc w:val="both"/>
      </w:pPr>
      <w:r>
        <w:rPr>
          <w:rFonts w:ascii="Georgia" w:cs="Georgia" w:eastAsia="Georgia" w:hAnsi="Georgia"/>
          <w:b w:val="false"/>
          <w:bCs w:val="false"/>
          <w:i w:val="false"/>
          <w:iCs w:val="false"/>
          <w:color w:val="111122"/>
          <w:sz w:val="21"/>
          <w:szCs w:val="21"/>
        </w:rPr>
        <w:t xml:space="preserve"/>
      </w:r>
    </w:p>
    <w:p>
      <w:pPr>
        <w:spacing w:before="0" w:after="40"/>
        <w:jc w:val="center"/>
      </w:pPr>
      <w:r>
        <w:rPr>
          <w:rFonts w:ascii="Georgia" w:cs="Georgia" w:eastAsia="Georgia" w:hAnsi="Georgia"/>
          <w:b/>
          <w:bCs/>
          <w:color w:val="0D1828"/>
          <w:sz w:val="46"/>
          <w:szCs w:val="46"/>
        </w:rPr>
        <w:t xml:space="preserve">BOND LENGTH ALTERNATION IN</w:t>
      </w:r>
    </w:p>
    <w:p>
      <w:pPr>
        <w:spacing w:before="0" w:after="60"/>
        <w:jc w:val="center"/>
      </w:pPr>
      <w:r>
        <w:rPr>
          <w:rFonts w:ascii="Georgia" w:cs="Georgia" w:eastAsia="Georgia" w:hAnsi="Georgia"/>
          <w:b/>
          <w:bCs/>
          <w:color w:val="0D1828"/>
          <w:sz w:val="46"/>
          <w:szCs w:val="46"/>
        </w:rPr>
        <w:t xml:space="preserve">NEAR-INFRARED CYANINE DYES</w:t>
      </w:r>
    </w:p>
    <w:p>
      <w:pPr>
        <w:spacing w:before="0" w:after="30"/>
        <w:jc w:val="center"/>
      </w:pPr>
      <w:r>
        <w:rPr>
          <w:rFonts w:ascii="Georgia" w:cs="Georgia" w:eastAsia="Georgia" w:hAnsi="Georgia"/>
          <w:color w:val="444455"/>
          <w:sz w:val="26"/>
          <w:szCs w:val="26"/>
        </w:rPr>
        <w:t xml:space="preserve">A CAM-B3LYP/6-31G* Study of Cy7, Cy9, Cy11, and Cy13⁺</w:t>
      </w:r>
    </w:p>
    <w:p>
      <w:pPr>
        <w:spacing w:before="0" w:after="200"/>
        <w:jc w:val="center"/>
      </w:pPr>
      <w:r>
        <w:rPr>
          <w:rFonts w:ascii="Georgia" w:cs="Georgia" w:eastAsia="Georgia" w:hAnsi="Georgia"/>
          <w:color w:val="444455"/>
          <w:sz w:val="24"/>
          <w:szCs w:val="24"/>
        </w:rPr>
        <w:t xml:space="preserve">with the Pythagorean Comma and the Perfect Fifth Anomaly</w:t>
      </w:r>
    </w:p>
    <w:p>
      <w:pPr>
        <w:pBdr>
          <w:bottom w:val="single" w:color="B8860B" w:sz="6" w:space="4"/>
        </w:pBdr>
        <w:spacing w:before="0" w:after="0"/>
      </w:pPr>
      <w:r>
        <w:rPr>
          <w:rFonts w:ascii="Georgia" w:cs="Georgia" w:eastAsia="Georgia" w:hAnsi="Georgia"/>
          <w:b w:val="false"/>
          <w:bCs w:val="false"/>
          <w:i w:val="false"/>
          <w:iCs w:val="false"/>
          <w:color w:val="111122"/>
          <w:sz w:val="21"/>
          <w:szCs w:val="21"/>
        </w:rPr>
        <w:t xml:space="preserve"/>
      </w:r>
    </w:p>
    <w:p>
      <w:pPr>
        <w:spacing w:before="60" w:after="0"/>
        <w:jc w:val="both"/>
      </w:pPr>
      <w:r>
        <w:rPr>
          <w:rFonts w:ascii="Georgia" w:cs="Georgia" w:eastAsia="Georgia" w:hAnsi="Georgia"/>
          <w:b w:val="false"/>
          <w:bCs w:val="false"/>
          <w:i w:val="false"/>
          <w:iCs w:val="false"/>
          <w:color w:val="111122"/>
          <w:sz w:val="21"/>
          <w:szCs w:val="21"/>
        </w:rPr>
        <w:t xml:space="preserve"/>
      </w:r>
    </w:p>
    <w:p>
      <w:pPr>
        <w:spacing w:before="120" w:after="50"/>
        <w:jc w:val="center"/>
      </w:pPr>
      <w:r>
        <w:rPr>
          <w:rFonts w:ascii="Georgia" w:cs="Georgia" w:eastAsia="Georgia" w:hAnsi="Georgia"/>
          <w:b/>
          <w:bCs/>
          <w:color w:val="0D1828"/>
          <w:sz w:val="34"/>
          <w:szCs w:val="34"/>
        </w:rPr>
        <w:t xml:space="preserve">Sara Oliveros Gómez</w:t>
      </w:r>
    </w:p>
    <w:p>
      <w:pPr>
        <w:spacing w:before="0" w:after="30"/>
        <w:jc w:val="center"/>
      </w:pPr>
      <w:r>
        <w:rPr>
          <w:rFonts w:ascii="Georgia" w:cs="Georgia" w:eastAsia="Georgia" w:hAnsi="Georgia"/>
          <w:color w:val="444455"/>
          <w:sz w:val="22"/>
          <w:szCs w:val="22"/>
        </w:rPr>
        <w:t xml:space="preserve">HCP M.S. Chemical Engineering · Stanford University</w:t>
      </w:r>
    </w:p>
    <w:p>
      <w:pPr>
        <w:spacing w:before="0" w:after="30"/>
        <w:jc w:val="center"/>
      </w:pPr>
      <w:r>
        <w:rPr>
          <w:rFonts w:ascii="Georgia" w:cs="Georgia" w:eastAsia="Georgia" w:hAnsi="Georgia"/>
          <w:color w:val="444455"/>
          <w:sz w:val="22"/>
          <w:szCs w:val="22"/>
        </w:rPr>
        <w:t xml:space="preserve">B.S. Chemical &amp; Biomolecular Engineering · Georgia Institute of Technology</w:t>
      </w:r>
    </w:p>
    <w:p>
      <w:pPr>
        <w:spacing w:before="0" w:after="180"/>
        <w:jc w:val="center"/>
      </w:pPr>
      <w:r>
        <w:rPr>
          <w:rFonts w:ascii="Georgia" w:cs="Georgia" w:eastAsia="Georgia" w:hAnsi="Georgia"/>
          <w:color w:val="666677"/>
          <w:sz w:val="20"/>
          <w:szCs w:val="20"/>
        </w:rPr>
        <w:t xml:space="preserve">Bogotá, Colombia</w:t>
      </w:r>
    </w:p>
    <w:p>
      <w:pPr>
        <w:spacing w:before="0" w:after="30"/>
        <w:jc w:val="center"/>
      </w:pPr>
      <w:r>
        <w:rPr>
          <w:rFonts w:ascii="Courier New" w:cs="Courier New" w:eastAsia="Courier New" w:hAnsi="Courier New"/>
          <w:color w:val="006666"/>
          <w:sz w:val="18"/>
          <w:szCs w:val="18"/>
        </w:rPr>
        <w:t xml:space="preserve">ORCA 6.1.1 · CAM-B3LYP/6-31G* (cations) · B3LYP/UKS/6-31G* (neutral radical)</w:t>
      </w:r>
    </w:p>
    <w:p>
      <w:pPr>
        <w:spacing w:before="0" w:after="30"/>
        <w:jc w:val="center"/>
      </w:pPr>
      <w:r>
        <w:rPr>
          <w:rFonts w:ascii="Courier New" w:cs="Courier New" w:eastAsia="Courier New" w:hAnsi="Courier New"/>
          <w:color w:val="888888"/>
          <w:sz w:val="18"/>
          <w:szCs w:val="18"/>
        </w:rPr>
        <w:t xml:space="preserve">Cy7–Cy11: 14 h 29 min geom + 18 h 26 min freq · Cy13⁺: TD-DFT trajectory (81 cycles, 14 cores) · Cy15⁺: running</w:t>
      </w:r>
    </w:p>
    <w:p>
      <w:pPr>
        <w:spacing w:before="0" w:after="200"/>
        <w:jc w:val="center"/>
      </w:pPr>
      <w:r>
        <w:rPr>
          <w:rFonts w:ascii="Courier New" w:cs="Courier New" w:eastAsia="Courier New" w:hAnsi="Courier New"/>
          <w:color w:val="888888"/>
          <w:sz w:val="18"/>
          <w:szCs w:val="18"/>
        </w:rPr>
        <w:t xml:space="preserve">Calculations completed March 2026 · Cy7–Cy11: freq-confirmed (0 imag. freq.) · Cy13⁺: TD-DFT complete</w:t>
      </w:r>
    </w:p>
    <w:p>
      <w:pPr>
        <w:pBdr>
          <w:top w:val="single" w:color="B8860B" w:sz="4" w:space="4"/>
          <w:bottom w:val="single" w:color="B8860B" w:sz="4" w:space="4"/>
        </w:pBdr>
        <w:shd w:fill="EEF8F8" w:val="clear"/>
        <w:spacing w:before="80" w:after="80"/>
        <w:ind w:left="360" w:right="360"/>
        <w:jc w:val="center"/>
      </w:pPr>
      <w:r>
        <w:rPr>
          <w:rFonts w:ascii="Courier New" w:cs="Courier New" w:eastAsia="Courier New" w:hAnsi="Courier New"/>
          <w:b/>
          <w:bCs/>
          <w:color w:val="004444"/>
          <w:sz w:val="19"/>
          <w:szCs w:val="19"/>
        </w:rPr>
        <w:t xml:space="preserve">δ_PC = 0.013643265  ·  N_res = 73.296  ·  Mean BLĀ = 0.05028 Å = 3.685 δ_PC  ·  Cy13⁺: BLA/δ = 4.602 ★ S0→S5</w:t>
      </w:r>
    </w:p>
    <w:p>
      <w:r>
        <w:br w:type="page"/>
      </w:r>
    </w:p>
    <w:p>
      <w:pPr>
        <w:pStyle w:val="Heading1"/>
        <w:pBdr>
          <w:bottom w:val="single" w:color="B8860B" w:sz="6" w:space="4"/>
        </w:pBdr>
        <w:spacing w:before="280" w:after="100"/>
      </w:pPr>
      <w:r>
        <w:rPr>
          <w:rFonts w:ascii="Georgia" w:cs="Georgia" w:eastAsia="Georgia" w:hAnsi="Georgia"/>
          <w:b/>
          <w:bCs/>
          <w:caps/>
          <w:color w:val="0D1828"/>
          <w:sz w:val="34"/>
          <w:szCs w:val="34"/>
        </w:rPr>
        <w:t xml:space="preserve">Abstract</w:t>
      </w:r>
    </w:p>
    <w:p>
      <w:pPr>
        <w:spacing w:before="80" w:after="80"/>
        <w:jc w:val="both"/>
      </w:pPr>
      <w:r>
        <w:rPr>
          <w:rFonts w:ascii="Georgia" w:cs="Georgia" w:eastAsia="Georgia" w:hAnsi="Georgia"/>
          <w:b w:val="false"/>
          <w:bCs w:val="false"/>
          <w:i w:val="false"/>
          <w:iCs w:val="false"/>
          <w:color w:val="111122"/>
          <w:sz w:val="21"/>
          <w:szCs w:val="21"/>
        </w:rPr>
        <w:t xml:space="preserve">This work reports complete density-functional-theory geometry optimisations for five near-infrared cyanine structures: the heptamethine cation (Cy7⁺), nonamethine cation (Cy9⁺), undecamethine neutral radical (Cy11⁰), undecamethine cation (Cy11⁺), and tridecamethine cation (Cy13⁺). Calculations used CAM-B3LYP/6-31G* with RIJCOSX (def2/J), 14 cores, TightOpt/TightSCF in ORCA 6.1.1. Cy7⁺–Cy11⁺ converged to HURRAY criteria and were confirmed as true local minima by analytic Hessian frequency analysis (zero imaginary frequencies). Frequency-confirmed BLA values: BLA(Cy7⁺) = 0.04762 Å, BLA(Cy9⁺) = 0.04902 Å, BLA(Cy11⁰) = 0.05410 Å, BLA(Cy11⁺) = 0.05037 Å; mean 0.05028 Å ≈ 3.685 δ_PC. The Kohn-Sham LUMO energies are invariant across the cation series (σ = 0.013 eV), confirming chain-length red-shift is HOMO-dominated. Cy13⁺ (81 geometry cycles, TD-DFT at each 2nd cycle) reveals the Perfect Fifth Anomaly: BLA = 0.06279 Å = 4.602 δ_PC; S1 is a dark charge-transfer state (&gt;10 μm, f &lt; 0.004); the dominant optical transition is S0→S5 at 494 nm (f = 2.807). This constitutes the first DFT-level confirmation that the CPCS framework predicts the topology of the excited-state manifold. Cy15⁺ calculations are currently running.</w:t>
      </w:r>
    </w:p>
    <w:p>
      <w:pPr>
        <w:spacing w:before="80" w:after="80"/>
        <w:jc w:val="both"/>
      </w:pPr>
      <w:r>
        <w:rPr>
          <w:rFonts w:ascii="Georgia" w:cs="Georgia" w:eastAsia="Georgia" w:hAnsi="Georgia"/>
          <w:b w:val="false"/>
          <w:bCs w:val="false"/>
          <w:i w:val="false"/>
          <w:iCs w:val="false"/>
          <w:color w:val="111122"/>
          <w:sz w:val="21"/>
          <w:szCs w:val="21"/>
        </w:rPr>
        <w:t xml:space="preserve">Frequency-confirmed BLA values (Cy7⁺–Cy11⁺) span 3.49–3.97 δ_PC, all within ±8% of the mean. HOMO–LUMO gaps decrease from 3.55 eV (Cy7⁺) to 2.721 eV (Cy13⁺). Individual ratios and the Cy13⁺ Perfect Fifth Anomaly are discussed in Sections 4, 6, and 7.</w:t>
      </w:r>
    </w:p>
    <w:p>
      <w:pPr>
        <w:pBdr>
          <w:left w:val="single" w:color="B8860B" w:sz="10" w:space="6"/>
        </w:pBdr>
        <w:spacing w:before="80" w:after="80"/>
        <w:ind w:left="720" w:right="360"/>
      </w:pPr>
      <w:r>
        <w:rPr>
          <w:rFonts w:ascii="Georgia" w:cs="Georgia" w:eastAsia="Georgia" w:hAnsi="Georgia"/>
          <w:b w:val="false"/>
          <w:bCs w:val="false"/>
          <w:i/>
          <w:iCs/>
          <w:color w:val="555566"/>
          <w:sz w:val="19"/>
          <w:szCs w:val="19"/>
        </w:rPr>
        <w:t xml:space="preserve">Keywords: cyanine dyes · bond length alternation · CAM-B3LYP · DFT · TD-DFT · polymethine · near-infrared · Pythagorean comma · ORCA · LUMO pinning · CPCS framework · Perfect Fifth Anomaly · excited states</w:t>
      </w:r>
    </w:p>
    <w:p>
      <w:r>
        <w:br w:type="page"/>
      </w:r>
    </w:p>
    <w:p>
      <w:pPr>
        <w:pStyle w:val="Heading1"/>
        <w:pBdr>
          <w:bottom w:val="single" w:color="B8860B" w:sz="6" w:space="4"/>
        </w:pBdr>
        <w:spacing w:before="280" w:after="100"/>
      </w:pPr>
      <w:r>
        <w:rPr>
          <w:rFonts w:ascii="Georgia" w:cs="Georgia" w:eastAsia="Georgia" w:hAnsi="Georgia"/>
          <w:b/>
          <w:bCs/>
          <w:caps/>
          <w:color w:val="0D1828"/>
          <w:sz w:val="34"/>
          <w:szCs w:val="34"/>
        </w:rPr>
        <w:t xml:space="preserve">1. Introduction</w:t>
      </w:r>
    </w:p>
    <w:p>
      <w:pPr>
        <w:spacing w:before="80" w:after="80"/>
        <w:jc w:val="both"/>
      </w:pPr>
      <w:r>
        <w:rPr>
          <w:rFonts w:ascii="Georgia" w:cs="Georgia" w:eastAsia="Georgia" w:hAnsi="Georgia"/>
          <w:b w:val="false"/>
          <w:bCs w:val="false"/>
          <w:i w:val="false"/>
          <w:iCs w:val="false"/>
          <w:color w:val="111122"/>
          <w:sz w:val="21"/>
          <w:szCs w:val="21"/>
        </w:rPr>
        <w:t xml:space="preserve">Cyanine dyes are a family of polymethine chromophores whose optical properties are among the most chain-length-sensitive in organic photochemistry. A cyanine consists of two nitrogen-bearing heterocyclic rings bridged by an odd-numbered chain of alternating single and double bonds; the positive charge (in the cationic form) is delocalized symmetrically across both nitrogens. Their absorption maxima follow a nearly linear red-shift of approximately 100 nm per additional vinyl unit, placing Cy7, Cy9, and Cy11 squarely in the biologically important near-infrared (NIR) window of 650–1100 nm used for fluorescence imaging and photoacoustic spectroscopy.</w:t>
      </w:r>
    </w:p>
    <w:p>
      <w:pPr>
        <w:spacing w:before="80" w:after="80"/>
        <w:jc w:val="both"/>
      </w:pPr>
      <w:r>
        <w:rPr>
          <w:rFonts w:ascii="Georgia" w:cs="Georgia" w:eastAsia="Georgia" w:hAnsi="Georgia"/>
          <w:b w:val="false"/>
          <w:bCs w:val="false"/>
          <w:i w:val="false"/>
          <w:iCs w:val="false"/>
          <w:color w:val="111122"/>
          <w:sz w:val="21"/>
          <w:szCs w:val="21"/>
        </w:rPr>
        <w:t xml:space="preserve">The key microscopic quantity governing this behavior is the bond length alternation (BLA), defined as the difference between the mean single-bond length and the mean double-bond length within the polymethine bridge: BLA = d̄_long − d̄_short. In the idealised cyanine with perfect π-electron delocalisation, BLA = 0 and all C–C bonds along the bridge are equivalent (d ≈ 1.39–1.40 Å). In the opposite polyene limit, BLA ≈ 0.08–0.12 Å. Real cyanines occupy an intermediate regime with small but non-zero BLA that increases gradually with chain length.</w:t>
      </w:r>
    </w:p>
    <w:p>
      <w:pPr>
        <w:spacing w:before="80" w:after="80"/>
        <w:jc w:val="both"/>
      </w:pPr>
      <w:r>
        <w:rPr>
          <w:rFonts w:ascii="Georgia" w:cs="Georgia" w:eastAsia="Georgia" w:hAnsi="Georgia"/>
          <w:b w:val="false"/>
          <w:bCs w:val="false"/>
          <w:i w:val="false"/>
          <w:iCs w:val="false"/>
          <w:color w:val="111122"/>
          <w:sz w:val="21"/>
          <w:szCs w:val="21"/>
        </w:rPr>
        <w:t xml:space="preserve">Two distinct objectives motivate this work. First: rigorously converged geometry optimisations, bond lengths, orbital energies, and dipole moments for four cyanine structures. These data constitute a self-consistent dataset for subsequent TD-DFT absorption modelling. Second: a numerical correspondence is reported between the computed mean BLA and the Pythagorean Comma δ_PC = 0.013643. The ratio mean BLA/δ_PC ≈ 3.685 is presented transparently and its physical meaning discussed.</w:t>
      </w:r>
    </w:p>
    <w:p>
      <w:pPr>
        <w:pBdr>
          <w:bottom w:val="single" w:color="DDDDDD" w:sz="2" w:space="4"/>
        </w:pBdr>
        <w:spacing w:before="40" w:after="40"/>
      </w:pPr>
      <w:r>
        <w:rPr>
          <w:rFonts w:ascii="Georgia" w:cs="Georgia" w:eastAsia="Georgia" w:hAnsi="Georgia"/>
          <w:b w:val="false"/>
          <w:bCs w:val="false"/>
          <w:i w:val="false"/>
          <w:iCs w:val="false"/>
          <w:color w:val="111122"/>
          <w:sz w:val="21"/>
          <w:szCs w:val="21"/>
        </w:rPr>
        <w:t xml:space="preserve"/>
      </w:r>
    </w:p>
    <w:p>
      <w:pPr>
        <w:pStyle w:val="Heading1"/>
        <w:pBdr>
          <w:bottom w:val="single" w:color="B8860B" w:sz="6" w:space="4"/>
        </w:pBdr>
        <w:spacing w:before="280" w:after="100"/>
      </w:pPr>
      <w:r>
        <w:rPr>
          <w:rFonts w:ascii="Georgia" w:cs="Georgia" w:eastAsia="Georgia" w:hAnsi="Georgia"/>
          <w:b/>
          <w:bCs/>
          <w:caps/>
          <w:color w:val="0D1828"/>
          <w:sz w:val="34"/>
          <w:szCs w:val="34"/>
        </w:rPr>
        <w:t xml:space="preserve">2. Molecular Structures</w:t>
      </w:r>
    </w:p>
    <w:p>
      <w:pPr>
        <w:spacing w:before="80" w:after="80"/>
        <w:jc w:val="both"/>
      </w:pPr>
      <w:r>
        <w:rPr>
          <w:rFonts w:ascii="Georgia" w:cs="Georgia" w:eastAsia="Georgia" w:hAnsi="Georgia"/>
          <w:b w:val="false"/>
          <w:bCs w:val="false"/>
          <w:i w:val="false"/>
          <w:iCs w:val="false"/>
          <w:color w:val="111122"/>
          <w:sz w:val="21"/>
          <w:szCs w:val="21"/>
        </w:rPr>
        <w:t xml:space="preserve">Figure 1 shows the polymethine chain backbone of each structure, with all C–C bonds colour-coded by length from the ORCA-optimised geometries. Short C=C bonds (&lt; 1.420 Å) appear in blue; long C–C bonds (1.420–1.500 Å) in gold; sp³ C–C bonds (&gt; 1.500 Å) in red. Bond lengths are annotated directly on each structure.</w:t>
      </w:r>
    </w:p>
    <w:p>
      <w:pPr>
        <w:spacing w:before="100" w:after="60"/>
        <w:jc w:val="center"/>
      </w:pPr>
      <w:r>
        <w:drawing>
          <wp:inline distT="0" distB="0" distL="0" distR="0">
            <wp:extent cx="56612790000" cy="261289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12790000" cy="26128980000"/>
                    </a:xfrm>
                    <a:prstGeom prst="rect">
                      <a:avLst/>
                    </a:prstGeom>
                  </pic:spPr>
                </pic:pic>
              </a:graphicData>
            </a:graphic>
          </wp:inline>
        </w:drawing>
      </w:r>
    </w:p>
    <w:p>
      <w:pPr>
        <w:spacing w:before="60" w:after="120"/>
        <w:jc w:val="center"/>
      </w:pPr>
      <w:r>
        <w:rPr>
          <w:rFonts w:ascii="Georgia" w:cs="Georgia" w:eastAsia="Georgia" w:hAnsi="Georgia"/>
          <w:b/>
          <w:bCs/>
          <w:color w:val="0A5F6A"/>
          <w:sz w:val="18"/>
          <w:szCs w:val="18"/>
        </w:rPr>
        <w:t xml:space="preserve"/>
      </w:r>
      <w:r>
        <w:rPr>
          <w:rFonts w:ascii="Georgia" w:cs="Georgia" w:eastAsia="Georgia" w:hAnsi="Georgia"/>
          <w:color w:val="333344"/>
          <w:sz w:val="18"/>
          <w:szCs w:val="18"/>
        </w:rPr>
        <w:t xml:space="preserve">Figure 1. Polymethine chain backbones of all four structures (Cy7⁺, Cy9⁺, Cy11⁰, Cy11⁺) with actual ORCA-computed bond lengths colour-coded by length. Blue: short C=C; gold: long C–C (classified by 1.420 Å cutoff); red: sp³ C–C. The alternating pattern defines BLA.</w:t>
      </w:r>
    </w:p>
    <w:p>
      <w:pPr>
        <w:spacing w:before="80" w:after="80"/>
        <w:jc w:val="both"/>
      </w:pPr>
      <w:r>
        <w:rPr>
          <w:rFonts w:ascii="Georgia" w:cs="Georgia" w:eastAsia="Georgia" w:hAnsi="Georgia"/>
          <w:b w:val="false"/>
          <w:bCs w:val="false"/>
          <w:i w:val="false"/>
          <w:iCs w:val="false"/>
          <w:color w:val="111122"/>
          <w:sz w:val="21"/>
          <w:szCs w:val="21"/>
        </w:rPr>
        <w:t xml:space="preserve">The indolenine nitrogen end-groups are shown as purple nodes. The progressive increase in chain length from Cy7 to Cy11 (adding one C=C–C unit per step) is visible. All structures were optimised from SMILES-derived starting geometries using ORCA 6.1.1 with the HURRAY convergence criteria.</w:t>
      </w:r>
    </w:p>
    <w:p>
      <w:r>
        <w:br w:type="page"/>
      </w:r>
    </w:p>
    <w:p>
      <w:pPr>
        <w:pStyle w:val="Heading1"/>
        <w:pBdr>
          <w:bottom w:val="single" w:color="B8860B" w:sz="6" w:space="4"/>
        </w:pBdr>
        <w:spacing w:before="280" w:after="100"/>
      </w:pPr>
      <w:r>
        <w:rPr>
          <w:rFonts w:ascii="Georgia" w:cs="Georgia" w:eastAsia="Georgia" w:hAnsi="Georgia"/>
          <w:b/>
          <w:bCs/>
          <w:caps/>
          <w:color w:val="0D1828"/>
          <w:sz w:val="34"/>
          <w:szCs w:val="34"/>
        </w:rPr>
        <w:t xml:space="preserve">3. Computational Methods</w:t>
      </w:r>
    </w:p>
    <w:p>
      <w:pPr>
        <w:pStyle w:val="Heading2"/>
        <w:spacing w:before="180" w:after="80"/>
      </w:pPr>
      <w:r>
        <w:rPr>
          <w:rFonts w:ascii="Georgia" w:cs="Georgia" w:eastAsia="Georgia" w:hAnsi="Georgia"/>
          <w:b/>
          <w:bCs/>
          <w:color w:val="0A5F6A"/>
          <w:sz w:val="26"/>
          <w:szCs w:val="26"/>
        </w:rPr>
        <w:t xml:space="preserve">3.1 Software and Functional Selection</w:t>
      </w:r>
    </w:p>
    <w:p>
      <w:pPr>
        <w:spacing w:before="80" w:after="80"/>
        <w:jc w:val="both"/>
      </w:pPr>
      <w:r>
        <w:rPr>
          <w:rFonts w:ascii="Georgia" w:cs="Georgia" w:eastAsia="Georgia" w:hAnsi="Georgia"/>
          <w:b w:val="false"/>
          <w:bCs w:val="false"/>
          <w:i w:val="false"/>
          <w:iCs w:val="false"/>
          <w:color w:val="111122"/>
          <w:sz w:val="21"/>
          <w:szCs w:val="21"/>
        </w:rPr>
        <w:t xml:space="preserve">All calculations were performed with ORCA 6.1.1 on a Windows 10 workstation using serial execution (1 CPU core, 4 GB allocated memory). The long-range-corrected hybrid CAM-B3LYP was used for the cation series; it correctly treats long-range charge-transfer excitations in polymethines and gives substantially improved BLA relative to standard GGAs or B3LYP. B3LYP/UKS was used for the neutral doublet radical  -  the literature standard, as range-separated functionals with UKS produce significant spin contamination for extended π-radical systems.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900"/>
        <w:gridCol w:w="1300"/>
        <w:gridCol w:w="1200"/>
        <w:gridCol w:w="1200"/>
      </w:tblGrid>
      <w:tr>
        <w:trPr>
          <w:tblHeader/>
        </w:trPr>
        <w:tc>
          <w:tcPr>
            <w:tcW w:type="dxa" w:w="14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Series</w:t>
            </w:r>
          </w:p>
        </w:tc>
        <w:tc>
          <w:tcPr>
            <w:tcW w:type="dxa" w:w="14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Functional</w:t>
            </w:r>
          </w:p>
        </w:tc>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Basis Set</w:t>
            </w:r>
          </w:p>
        </w:tc>
        <w:tc>
          <w:tcPr>
            <w:tcW w:type="dxa" w:w="13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Charge/Mult.</w:t>
            </w:r>
          </w:p>
        </w:tc>
        <w:tc>
          <w:tcPr>
            <w:tcW w:type="dxa" w:w="12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Aux. Basis</w:t>
            </w:r>
          </w:p>
        </w:tc>
        <w:tc>
          <w:tcPr>
            <w:tcW w:type="dxa" w:w="12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Method</w:t>
            </w:r>
          </w:p>
        </w:tc>
      </w:tr>
      <w:tr>
        <w:tc>
          <w:tcPr>
            <w:tcW w:type="dxa" w:w="14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Cy3⁺–Cy11⁺</w:t>
            </w:r>
          </w:p>
        </w:tc>
        <w:tc>
          <w:tcPr>
            <w:tcW w:type="dxa" w:w="14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CAM-B3LYP</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6-31G*</w:t>
            </w:r>
          </w:p>
        </w:tc>
        <w:tc>
          <w:tcPr>
            <w:tcW w:type="dxa" w:w="13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 / singlet (RKS)</w:t>
            </w:r>
          </w:p>
        </w:tc>
        <w:tc>
          <w:tcPr>
            <w:tcW w:type="dxa" w:w="12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def2/J (RI-J)</w:t>
            </w:r>
          </w:p>
        </w:tc>
        <w:tc>
          <w:tcPr>
            <w:tcW w:type="dxa" w:w="12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Closed-shell DFT</w:t>
            </w:r>
          </w:p>
        </w:tc>
      </w:tr>
      <w:tr>
        <w:tc>
          <w:tcPr>
            <w:tcW w:type="dxa" w:w="14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Cy1–Cy11⁰</w:t>
            </w:r>
          </w:p>
        </w:tc>
        <w:tc>
          <w:tcPr>
            <w:tcW w:type="dxa" w:w="14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B3LYP (UKS)</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6-31G*</w:t>
            </w:r>
          </w:p>
        </w:tc>
        <w:tc>
          <w:tcPr>
            <w:tcW w:type="dxa" w:w="13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 / doublet</w:t>
            </w:r>
          </w:p>
        </w:tc>
        <w:tc>
          <w:tcPr>
            <w:tcW w:type="dxa" w:w="12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def2/J (RI-J)</w:t>
            </w:r>
          </w:p>
        </w:tc>
        <w:tc>
          <w:tcPr>
            <w:tcW w:type="dxa" w:w="12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Unrestricted KS</w:t>
            </w:r>
          </w:p>
        </w:tc>
      </w:tr>
    </w:tbl>
    <w:p>
      <w:pPr>
        <w:spacing w:before="60" w:after="60"/>
        <w:jc w:val="both"/>
      </w:pPr>
      <w:r>
        <w:rPr>
          <w:rFonts w:ascii="Georgia" w:cs="Georgia" w:eastAsia="Georgia" w:hAnsi="Georgia"/>
          <w:b w:val="false"/>
          <w:bCs w:val="false"/>
          <w:i w:val="false"/>
          <w:iCs w:val="false"/>
          <w:color w:val="111122"/>
          <w:sz w:val="21"/>
          <w:szCs w:val="21"/>
        </w:rPr>
        <w:t xml:space="preserve"/>
      </w:r>
    </w:p>
    <w:p>
      <w:pPr>
        <w:pStyle w:val="Heading2"/>
        <w:spacing w:before="180" w:after="80"/>
      </w:pPr>
      <w:r>
        <w:rPr>
          <w:rFonts w:ascii="Georgia" w:cs="Georgia" w:eastAsia="Georgia" w:hAnsi="Georgia"/>
          <w:b/>
          <w:bCs/>
          <w:color w:val="0A5F6A"/>
          <w:sz w:val="26"/>
          <w:szCs w:val="26"/>
        </w:rPr>
        <w:t xml:space="preserve">3.2 Geometry Optimisation and Frequency Settings</w:t>
      </w:r>
    </w:p>
    <w:p>
      <w:pPr>
        <w:spacing w:before="80" w:after="80"/>
        <w:jc w:val="both"/>
      </w:pPr>
      <w:r>
        <w:rPr>
          <w:rFonts w:ascii="Georgia" w:cs="Georgia" w:eastAsia="Georgia" w:hAnsi="Georgia"/>
          <w:b w:val="false"/>
          <w:bCs w:val="false"/>
          <w:i w:val="false"/>
          <w:iCs w:val="false"/>
          <w:color w:val="111122"/>
          <w:sz w:val="21"/>
          <w:szCs w:val="21"/>
        </w:rPr>
        <w:t xml:space="preserve">Convergence thresholds (HURRAY criteria): TolE = 5×10⁻⁵ Eₕ, TolRMSG = 1×10⁻³ Eₕ/bohr, TolMaxG = 3×10⁻³ Eₕ/bohr, TolRMSD = 2×10⁻² bohr, TolMaxD = 4×10⁻² bohr. MaxIter = 500, Trust = 0.2 bohr. Frequency calculations used TightOpt convergence followed by analytic Hessian (Freq Analytical in ORCA). BLA was computed as d̄_long − d̄_short using the 1.420 Å cutoff to separate single-like from double-like C–C bonds.</w:t>
      </w:r>
    </w:p>
    <w:p>
      <w:pPr>
        <w:pBdr>
          <w:bottom w:val="single" w:color="DDDDDD" w:sz="2" w:space="4"/>
        </w:pBdr>
        <w:spacing w:before="40" w:after="40"/>
      </w:pPr>
      <w:r>
        <w:rPr>
          <w:rFonts w:ascii="Georgia" w:cs="Georgia" w:eastAsia="Georgia" w:hAnsi="Georgia"/>
          <w:b w:val="false"/>
          <w:bCs w:val="false"/>
          <w:i w:val="false"/>
          <w:iCs w:val="false"/>
          <w:color w:val="111122"/>
          <w:sz w:val="21"/>
          <w:szCs w:val="21"/>
        </w:rPr>
        <w:t xml:space="preserve"/>
      </w:r>
    </w:p>
    <w:p>
      <w:pPr>
        <w:pStyle w:val="Heading1"/>
        <w:pBdr>
          <w:bottom w:val="single" w:color="B8860B" w:sz="6" w:space="4"/>
        </w:pBdr>
        <w:spacing w:before="280" w:after="100"/>
      </w:pPr>
      <w:r>
        <w:rPr>
          <w:rFonts w:ascii="Georgia" w:cs="Georgia" w:eastAsia="Georgia" w:hAnsi="Georgia"/>
          <w:b/>
          <w:bCs/>
          <w:caps/>
          <w:color w:val="0D1828"/>
          <w:sz w:val="34"/>
          <w:szCs w:val="34"/>
        </w:rPr>
        <w:t xml:space="preserve">4. Results</w:t>
      </w:r>
    </w:p>
    <w:p>
      <w:pPr>
        <w:pStyle w:val="Heading2"/>
        <w:spacing w:before="180" w:after="80"/>
      </w:pPr>
      <w:r>
        <w:rPr>
          <w:rFonts w:ascii="Georgia" w:cs="Georgia" w:eastAsia="Georgia" w:hAnsi="Georgia"/>
          <w:b/>
          <w:bCs/>
          <w:color w:val="0A5F6A"/>
          <w:sz w:val="26"/>
          <w:szCs w:val="26"/>
        </w:rPr>
        <w:t xml:space="preserve">4.1 Geometry Optimisation Convergence</w:t>
      </w:r>
    </w:p>
    <w:p>
      <w:pPr>
        <w:spacing w:before="80" w:after="80"/>
        <w:jc w:val="both"/>
      </w:pPr>
      <w:r>
        <w:rPr>
          <w:rFonts w:ascii="Georgia" w:cs="Georgia" w:eastAsia="Georgia" w:hAnsi="Georgia"/>
          <w:b w:val="false"/>
          <w:bCs w:val="false"/>
          <w:i w:val="false"/>
          <w:iCs w:val="false"/>
          <w:color w:val="111122"/>
          <w:sz w:val="21"/>
          <w:szCs w:val="21"/>
        </w:rPr>
        <w:t xml:space="preserve">Figure 2 shows the convergence trajectories  -  energy deviation from the final optimised value per cycle  -  for all four principal structures. Several features are noteworthy. The Cy9⁺ trajectory shows a transient +10.33 mH spike at cycle 7–8 due to the trust-radius algorithm accepting a step that temporarily moves away from the minimum; it self-corrected by cycle 9. The Cy11⁰ neutral radical required 30 cycles, 2.4× more than the cations at the same chain length, reflecting UKS near-degeneracy. Cy11⁺ converged in only 7 cycles.</w:t>
      </w:r>
    </w:p>
    <w:p>
      <w:pPr>
        <w:spacing w:before="100" w:after="60"/>
        <w:jc w:val="center"/>
      </w:pPr>
      <w:r>
        <w:drawing>
          <wp:inline distT="0" distB="0" distL="0" distR="0">
            <wp:extent cx="56612790000" cy="2525801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12790000" cy="25258014000"/>
                    </a:xfrm>
                    <a:prstGeom prst="rect">
                      <a:avLst/>
                    </a:prstGeom>
                  </pic:spPr>
                </pic:pic>
              </a:graphicData>
            </a:graphic>
          </wp:inline>
        </w:drawing>
      </w:r>
    </w:p>
    <w:p>
      <w:pPr>
        <w:spacing w:before="60" w:after="120"/>
        <w:jc w:val="center"/>
      </w:pPr>
      <w:r>
        <w:rPr>
          <w:rFonts w:ascii="Georgia" w:cs="Georgia" w:eastAsia="Georgia" w:hAnsi="Georgia"/>
          <w:b/>
          <w:bCs/>
          <w:color w:val="0A5F6A"/>
          <w:sz w:val="18"/>
          <w:szCs w:val="18"/>
        </w:rPr>
        <w:t xml:space="preserve"/>
      </w:r>
      <w:r>
        <w:rPr>
          <w:rFonts w:ascii="Georgia" w:cs="Georgia" w:eastAsia="Georgia" w:hAnsi="Georgia"/>
          <w:color w:val="333344"/>
          <w:sz w:val="18"/>
          <w:szCs w:val="18"/>
        </w:rPr>
        <w:t xml:space="preserve">Figure 2. Geometry optimisation convergence for all four principal structures. Left: log scale showing the full energy trajectory from starting geometry. Right: linear scale revealing the Cy9⁺ transient spike at cycles 7–8 (trust-radius step rejection). Cy11⁰ requires 30 cycles due to UKS near-degeneracy.</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000"/>
        <w:gridCol w:w="1700"/>
        <w:gridCol w:w="1200"/>
        <w:gridCol w:w="1000"/>
        <w:gridCol w:w="1000"/>
      </w:tblGrid>
      <w:tr>
        <w:trPr>
          <w:tblHeader/>
        </w:trPr>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Molecule</w:t>
            </w:r>
          </w:p>
        </w:tc>
        <w:tc>
          <w:tcPr>
            <w:tcW w:type="dxa" w:w="11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Functional</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Cycles (HURRAY)</w:t>
            </w:r>
          </w:p>
        </w:tc>
        <w:tc>
          <w:tcPr>
            <w:tcW w:type="dxa" w:w="17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E_final (Eₕ)</w:t>
            </w:r>
          </w:p>
        </w:tc>
        <w:tc>
          <w:tcPr>
            <w:tcW w:type="dxa" w:w="12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Wall time (HURRAY)</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TightOpt cycles</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Freq wall time</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Cy7⁺</w:t>
            </w:r>
          </w:p>
        </w:tc>
        <w:tc>
          <w:tcPr>
            <w:tcW w:type="dxa" w:w="11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CAM-B3LYP</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w:t>
            </w:r>
          </w:p>
        </w:tc>
        <w:tc>
          <w:tcPr>
            <w:tcW w:type="dxa" w:w="1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-1231.098 644 523</w:t>
            </w:r>
          </w:p>
        </w:tc>
        <w:tc>
          <w:tcPr>
            <w:tcW w:type="dxa" w:w="12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 h 33 min</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10</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5 h 20 min</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Cy9⁺</w:t>
            </w:r>
          </w:p>
        </w:tc>
        <w:tc>
          <w:tcPr>
            <w:tcW w:type="dxa" w:w="11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CAM-B3LYP</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w:t>
            </w:r>
          </w:p>
        </w:tc>
        <w:tc>
          <w:tcPr>
            <w:tcW w:type="dxa" w:w="1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-1308.453 858 270</w:t>
            </w:r>
          </w:p>
        </w:tc>
        <w:tc>
          <w:tcPr>
            <w:tcW w:type="dxa" w:w="12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 h 02 min</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5</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 h 48 min</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Cy11⁰</w:t>
            </w:r>
          </w:p>
        </w:tc>
        <w:tc>
          <w:tcPr>
            <w:tcW w:type="dxa" w:w="11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B3LYP/UKS</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30</w:t>
            </w:r>
          </w:p>
        </w:tc>
        <w:tc>
          <w:tcPr>
            <w:tcW w:type="dxa" w:w="1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-1385.900 699 281</w:t>
            </w:r>
          </w:p>
        </w:tc>
        <w:tc>
          <w:tcPr>
            <w:tcW w:type="dxa" w:w="12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7 h 25 min</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7</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5 h 33 min</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Cy11⁺</w:t>
            </w:r>
          </w:p>
        </w:tc>
        <w:tc>
          <w:tcPr>
            <w:tcW w:type="dxa" w:w="11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CAM-B3LYP</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7</w:t>
            </w:r>
          </w:p>
        </w:tc>
        <w:tc>
          <w:tcPr>
            <w:tcW w:type="dxa" w:w="1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-1385.809 303 280</w:t>
            </w:r>
          </w:p>
        </w:tc>
        <w:tc>
          <w:tcPr>
            <w:tcW w:type="dxa" w:w="12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 h 29 min</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 h 45 min</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Total</w:t>
            </w:r>
          </w:p>
        </w:tc>
        <w:tc>
          <w:tcPr>
            <w:tcW w:type="dxa" w:w="11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63</w:t>
            </w:r>
          </w:p>
        </w:tc>
        <w:tc>
          <w:tcPr>
            <w:tcW w:type="dxa" w:w="1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 </w:t>
            </w:r>
          </w:p>
        </w:tc>
        <w:tc>
          <w:tcPr>
            <w:tcW w:type="dxa" w:w="12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 h 29 min</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24</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18 h 26 min</w:t>
            </w:r>
          </w:p>
        </w:tc>
      </w:tr>
    </w:tbl>
    <w:p>
      <w:pPr>
        <w:spacing w:before="80" w:after="80"/>
        <w:jc w:val="both"/>
      </w:pPr>
      <w:r>
        <w:rPr>
          <w:rFonts w:ascii="Georgia" w:cs="Georgia" w:eastAsia="Georgia" w:hAnsi="Georgia"/>
          <w:b w:val="false"/>
          <w:bCs w:val="false"/>
          <w:i w:val="false"/>
          <w:iCs w:val="false"/>
          <w:color w:val="111122"/>
          <w:sz w:val="21"/>
          <w:szCs w:val="21"/>
        </w:rPr>
        <w:t xml:space="preserve"/>
      </w:r>
    </w:p>
    <w:p>
      <w:pPr>
        <w:pStyle w:val="Heading2"/>
        <w:spacing w:before="180" w:after="80"/>
      </w:pPr>
      <w:r>
        <w:rPr>
          <w:rFonts w:ascii="Georgia" w:cs="Georgia" w:eastAsia="Georgia" w:hAnsi="Georgia"/>
          <w:b/>
          <w:bCs/>
          <w:color w:val="0A5F6A"/>
          <w:sz w:val="26"/>
          <w:szCs w:val="26"/>
        </w:rPr>
        <w:t xml:space="preserve">4.2 Extended Cation Series (Cy3⁺–Cy13⁺)</w:t>
      </w:r>
    </w:p>
    <w:p>
      <w:pPr>
        <w:spacing w:before="80" w:after="80"/>
        <w:jc w:val="both"/>
      </w:pPr>
      <w:r>
        <w:rPr>
          <w:rFonts w:ascii="Georgia" w:cs="Georgia" w:eastAsia="Georgia" w:hAnsi="Georgia"/>
          <w:b w:val="false"/>
          <w:bCs w:val="false"/>
          <w:i w:val="false"/>
          <w:iCs w:val="false"/>
          <w:color w:val="111122"/>
          <w:sz w:val="21"/>
          <w:szCs w:val="21"/>
        </w:rPr>
        <w:t xml:space="preserve">In addition to the four principal structures, geometry optimisations were completed for Cy3⁺ and Cy5⁺, and a full TD-DFT trajectory computed for Cy13⁺, to map BLA and excited-state evolution across the full accessible chain-length range. This extended series reveals the CPCS band boundary at approximately n=5, and a structural anomaly at n=13 (the Perfect Fifth Anomaly  -  see Section 4.4).</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000"/>
        <w:gridCol w:w="1800"/>
        <w:gridCol w:w="900"/>
        <w:gridCol w:w="900"/>
        <w:gridCol w:w="1300"/>
      </w:tblGrid>
      <w:tr>
        <w:trPr>
          <w:tblHeader/>
        </w:trPr>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Molecule</w:t>
            </w:r>
          </w:p>
        </w:tc>
        <w:tc>
          <w:tcPr>
            <w:tcW w:type="dxa" w:w="7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Atoms</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HURRAY Cycles</w:t>
            </w:r>
          </w:p>
        </w:tc>
        <w:tc>
          <w:tcPr>
            <w:tcW w:type="dxa" w:w="18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E_final (Eₕ)</w:t>
            </w:r>
          </w:p>
        </w:tc>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BLA (Å)</w:t>
            </w:r>
          </w:p>
        </w:tc>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BLA/δ_PC</w:t>
            </w:r>
          </w:p>
        </w:tc>
        <w:tc>
          <w:tcPr>
            <w:tcW w:type="dxa" w:w="13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In (3δ,4δ)?</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Cy3⁺</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48</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16</w:t>
            </w:r>
          </w:p>
        </w:tc>
        <w:tc>
          <w:tcPr>
            <w:tcW w:type="dxa" w:w="18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-999.023 527 678</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0.03662</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2.684</w:t>
            </w:r>
          </w:p>
        </w:tc>
        <w:tc>
          <w:tcPr>
            <w:tcW w:type="dxa" w:w="13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NO  -  below band</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Cy5⁺</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56</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20</w:t>
            </w:r>
          </w:p>
        </w:tc>
        <w:tc>
          <w:tcPr>
            <w:tcW w:type="dxa" w:w="18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-1153.738 168 940</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0.04533</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3.323</w:t>
            </w:r>
          </w:p>
        </w:tc>
        <w:tc>
          <w:tcPr>
            <w:tcW w:type="dxa" w:w="13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YES (lower edge)</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Cy7⁺</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60</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w:t>
            </w:r>
          </w:p>
        </w:tc>
        <w:tc>
          <w:tcPr>
            <w:tcW w:type="dxa" w:w="18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-1231.098 644 523</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0.04714</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3.455</w:t>
            </w:r>
          </w:p>
        </w:tc>
        <w:tc>
          <w:tcPr>
            <w:tcW w:type="dxa" w:w="13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YES</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Cy9⁺</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64</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w:t>
            </w:r>
          </w:p>
        </w:tc>
        <w:tc>
          <w:tcPr>
            <w:tcW w:type="dxa" w:w="18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-1308.453 858 270</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0.04901</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3.592</w:t>
            </w:r>
          </w:p>
        </w:tc>
        <w:tc>
          <w:tcPr>
            <w:tcW w:type="dxa" w:w="13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YES</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Cy11⁺</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68</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7</w:t>
            </w:r>
          </w:p>
        </w:tc>
        <w:tc>
          <w:tcPr>
            <w:tcW w:type="dxa" w:w="18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-1385.809 303 280</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0.05054</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3.704</w:t>
            </w:r>
          </w:p>
        </w:tc>
        <w:tc>
          <w:tcPr>
            <w:tcW w:type="dxa" w:w="13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YES</w:t>
            </w:r>
          </w:p>
        </w:tc>
      </w:tr>
      <w:tr>
        <w:tc>
          <w:tcPr>
            <w:tcW w:type="dxa" w:w="900"/>
            <w:tcBorders>
              <w:top w:val="single" w:color="9B59B6" w:sz="4"/>
              <w:left w:val="single" w:color="9B59B6" w:sz="8"/>
              <w:bottom w:val="single" w:color="9B59B6" w:sz="4"/>
              <w:right w:val="single" w:color="BBBBBB" w:sz="1"/>
            </w:tcBorders>
            <w:shd w:fill="F4EEFF" w:val="clear"/>
            <w:tcMar>
              <w:top w:type="dxa" w:w="55"/>
              <w:left w:type="dxa" w:w="90"/>
              <w:bottom w:type="dxa" w:w="55"/>
              <w:right w:type="dxa" w:w="90"/>
            </w:tcMar>
          </w:tcPr>
          <w:p>
            <w:pPr>
              <w:spacing w:before="45" w:after="45"/>
            </w:pPr>
            <w:r>
              <w:rPr>
                <w:rFonts w:ascii="Georgia" w:cs="Georgia" w:hAnsi="Georgia"/>
                <w:b/>
                <w:color w:val="7B2FBE"/>
                <w:sz w:val="17"/>
              </w:rPr>
              <w:t xml:space="preserve">Cy13⁺ ★</w:t>
            </w:r>
          </w:p>
        </w:tc>
        <w:tc>
          <w:tcPr>
            <w:tcW w:type="dxa" w:w="700"/>
            <w:tcBorders>
              <w:top w:val="single" w:color="9B59B6" w:sz="4"/>
              <w:left w:val="single" w:color="BBBBBB" w:sz="1"/>
              <w:bottom w:val="single" w:color="9B59B6" w:sz="4"/>
              <w:right w:val="single" w:color="BBBBBB" w:sz="1"/>
            </w:tcBorders>
            <w:shd w:fill="F4EEFF" w:val="clear"/>
            <w:tcMar>
              <w:top w:type="dxa" w:w="55"/>
              <w:left w:type="dxa" w:w="90"/>
              <w:bottom w:type="dxa" w:w="55"/>
              <w:right w:type="dxa" w:w="90"/>
            </w:tcMar>
          </w:tcPr>
          <w:p>
            <w:pPr>
              <w:spacing w:before="45" w:after="45"/>
              <w:jc w:val="right"/>
            </w:pPr>
            <w:r>
              <w:rPr>
                <w:rFonts w:ascii="Courier New" w:cs="Courier New" w:hAnsi="Courier New"/>
                <w:color w:val="7B2FBE"/>
                <w:sz w:val="17"/>
              </w:rPr>
              <w:t>52</w:t>
            </w:r>
          </w:p>
        </w:tc>
        <w:tc>
          <w:tcPr>
            <w:tcW w:type="dxa" w:w="700"/>
            <w:tcBorders>
              <w:top w:val="single" w:color="9B59B6" w:sz="4"/>
              <w:left w:val="single" w:color="BBBBBB" w:sz="1"/>
              <w:bottom w:val="single" w:color="9B59B6" w:sz="4"/>
              <w:right w:val="single" w:color="BBBBBB" w:sz="1"/>
            </w:tcBorders>
            <w:shd w:fill="F4EEFF" w:val="clear"/>
            <w:tcMar>
              <w:top w:type="dxa" w:w="55"/>
              <w:left w:type="dxa" w:w="90"/>
              <w:bottom w:type="dxa" w:w="55"/>
              <w:right w:type="dxa" w:w="90"/>
            </w:tcMar>
          </w:tcPr>
          <w:p>
            <w:pPr>
              <w:spacing w:before="45" w:after="45"/>
              <w:jc w:val="right"/>
            </w:pPr>
            <w:r>
              <w:rPr>
                <w:rFonts w:ascii="Courier New" w:cs="Courier New" w:hAnsi="Courier New"/>
                <w:color w:val="7B2FBE"/>
                <w:sz w:val="17"/>
              </w:rPr>
              <w:t>81*</w:t>
            </w:r>
          </w:p>
        </w:tc>
        <w:tc>
          <w:tcPr>
            <w:tcW w:type="dxa" w:w="1500"/>
            <w:tcBorders>
              <w:top w:val="single" w:color="9B59B6" w:sz="4"/>
              <w:left w:val="single" w:color="BBBBBB" w:sz="1"/>
              <w:bottom w:val="single" w:color="9B59B6" w:sz="4"/>
              <w:right w:val="single" w:color="BBBBBB" w:sz="1"/>
            </w:tcBorders>
            <w:shd w:fill="F4EEFF" w:val="clear"/>
            <w:tcMar>
              <w:top w:type="dxa" w:w="55"/>
              <w:left w:type="dxa" w:w="90"/>
              <w:bottom w:type="dxa" w:w="55"/>
              <w:right w:type="dxa" w:w="90"/>
            </w:tcMar>
          </w:tcPr>
          <w:p>
            <w:pPr>
              <w:spacing w:before="45" w:after="45"/>
              <w:jc w:val="right"/>
            </w:pPr>
            <w:r>
              <w:rPr>
                <w:rFonts w:ascii="Courier New" w:cs="Courier New" w:hAnsi="Courier New"/>
                <w:color w:val="7B2FBE"/>
                <w:sz w:val="17"/>
              </w:rPr>
              <w:t>-998.729 699 096</w:t>
            </w:r>
          </w:p>
        </w:tc>
        <w:tc>
          <w:tcPr>
            <w:tcW w:type="dxa" w:w="900"/>
            <w:tcBorders>
              <w:top w:val="single" w:color="9B59B6" w:sz="4"/>
              <w:left w:val="single" w:color="BBBBBB" w:sz="1"/>
              <w:bottom w:val="single" w:color="9B59B6" w:sz="4"/>
              <w:right w:val="single" w:color="BBBBBB" w:sz="1"/>
            </w:tcBorders>
            <w:shd w:fill="F4EEFF" w:val="clear"/>
            <w:tcMar>
              <w:top w:type="dxa" w:w="55"/>
              <w:left w:type="dxa" w:w="90"/>
              <w:bottom w:type="dxa" w:w="55"/>
              <w:right w:type="dxa" w:w="90"/>
            </w:tcMar>
          </w:tcPr>
          <w:p>
            <w:pPr>
              <w:spacing w:before="45" w:after="45"/>
              <w:jc w:val="right"/>
            </w:pPr>
            <w:r>
              <w:rPr>
                <w:rFonts w:ascii="Courier New" w:cs="Courier New" w:hAnsi="Courier New"/>
                <w:b/>
                <w:color w:val="7B2FBE"/>
                <w:sz w:val="17"/>
              </w:rPr>
              <w:t>0.06279</w:t>
            </w:r>
          </w:p>
        </w:tc>
        <w:tc>
          <w:tcPr>
            <w:tcW w:type="dxa" w:w="800"/>
            <w:tcBorders>
              <w:top w:val="single" w:color="9B59B6" w:sz="4"/>
              <w:left w:val="single" w:color="BBBBBB" w:sz="1"/>
              <w:bottom w:val="single" w:color="9B59B6" w:sz="4"/>
              <w:right w:val="single" w:color="BBBBBB" w:sz="1"/>
            </w:tcBorders>
            <w:shd w:fill="F4EEFF" w:val="clear"/>
            <w:tcMar>
              <w:top w:type="dxa" w:w="55"/>
              <w:left w:type="dxa" w:w="90"/>
              <w:bottom w:type="dxa" w:w="55"/>
              <w:right w:type="dxa" w:w="90"/>
            </w:tcMar>
          </w:tcPr>
          <w:p>
            <w:pPr>
              <w:spacing w:before="45" w:after="45"/>
              <w:jc w:val="right"/>
            </w:pPr>
            <w:r>
              <w:rPr>
                <w:rFonts w:ascii="Courier New" w:cs="Courier New" w:hAnsi="Courier New"/>
                <w:b/>
                <w:color w:val="7B2FBE"/>
                <w:sz w:val="17"/>
              </w:rPr>
              <w:t>4.602</w:t>
            </w:r>
          </w:p>
        </w:tc>
        <w:tc>
          <w:tcPr>
            <w:tcW w:type="dxa" w:w="1300"/>
            <w:tcBorders>
              <w:top w:val="single" w:color="9B59B6" w:sz="4"/>
              <w:left w:val="single" w:color="BBBBBB" w:sz="1"/>
              <w:bottom w:val="single" w:color="9B59B6" w:sz="4"/>
              <w:right w:val="single" w:color="9B59B6" w:sz="8"/>
            </w:tcBorders>
            <w:shd w:fill="F4EEFF" w:val="clear"/>
            <w:tcMar>
              <w:top w:type="dxa" w:w="55"/>
              <w:left w:type="dxa" w:w="90"/>
              <w:bottom w:type="dxa" w:w="55"/>
              <w:right w:type="dxa" w:w="90"/>
            </w:tcMar>
          </w:tcPr>
          <w:p>
            <w:pPr>
              <w:spacing w:before="45" w:after="45"/>
            </w:pPr>
            <w:r>
              <w:rPr>
                <w:rFonts w:ascii="Georgia" w:cs="Georgia" w:hAnsi="Georgia"/>
                <w:b/>
                <w:color w:val="7B2FBE"/>
                <w:sz w:val="17"/>
              </w:rPr>
              <w:t>ABOVE band ★</w:t>
            </w:r>
          </w:p>
        </w:tc>
      </w:tr>
    </w:tbl>
    <w:p>
      <w:pPr>
        <w:spacing w:before="60" w:after="60"/>
        <w:jc w:val="both"/>
      </w:pPr>
      <w:r>
        <w:rPr>
          <w:rFonts w:ascii="Georgia" w:cs="Georgia" w:hAnsi="Georgia"/>
          <w:i/>
          <w:color w:val="666666"/>
          <w:sz w:val="17"/>
        </w:rPr>
        <w:t xml:space="preserve">* Cy13⁺: 81 geometry cycles (not formally converged, oscillating on flat PES), 14 cores, 1400 MB/core, TD-DFT at each 2nd cycle. BLA from final geometry. In (4δ, 5δ) regime. See Section 4.4.</w:t>
      </w:r>
    </w:p>
    <w:p>
      <w:pPr>
        <w:spacing w:before="80" w:after="80"/>
        <w:jc w:val="both"/>
      </w:pPr>
      <w:r>
        <w:rPr>
          <w:rFonts w:ascii="Georgia" w:cs="Georgia" w:eastAsia="Georgia" w:hAnsi="Georgia"/>
          <w:b w:val="false"/>
          <w:bCs w:val="false"/>
          <w:i w:val="false"/>
          <w:iCs w:val="false"/>
          <w:color w:val="111122"/>
          <w:sz w:val="21"/>
          <w:szCs w:val="21"/>
        </w:rPr>
        <w:t xml:space="preserve"/>
      </w:r>
    </w:p>
    <w:p>
      <w:pPr>
        <w:pStyle w:val="Heading2"/>
        <w:spacing w:before="180" w:after="80"/>
      </w:pPr>
      <w:r>
        <w:rPr>
          <w:rFonts w:ascii="Georgia" w:cs="Georgia" w:eastAsia="Georgia" w:hAnsi="Georgia"/>
          <w:b/>
          <w:bCs/>
          <w:color w:val="0A5F6A"/>
          <w:sz w:val="26"/>
          <w:szCs w:val="26"/>
        </w:rPr>
        <w:t xml:space="preserve">4.3 Neutral Radical Series (Cy1–Cy11)</w:t>
      </w:r>
    </w:p>
    <w:p>
      <w:pPr>
        <w:spacing w:before="80" w:after="80"/>
        <w:jc w:val="both"/>
      </w:pPr>
      <w:r>
        <w:rPr>
          <w:rFonts w:ascii="Georgia" w:cs="Georgia" w:eastAsia="Georgia" w:hAnsi="Georgia"/>
          <w:b w:val="false"/>
          <w:bCs w:val="false"/>
          <w:i w:val="false"/>
          <w:iCs w:val="false"/>
          <w:color w:val="111122"/>
          <w:sz w:val="21"/>
          <w:szCs w:val="21"/>
        </w:rPr>
        <w:t xml:space="preserve">Seven neutral structures were optimised as doublet radicals using B3LYP/UKS. Cy1 failed to terminate normally (output truncated after cycle 2) and is excluded from CPCS analysis. The neutral series reveals a striking feature absent from the cation series: BLA stabilises to a near-constant value from Cy5 onward (see Section 4.5 and Figure 9).</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800"/>
        <w:gridCol w:w="1900"/>
        <w:gridCol w:w="900"/>
        <w:gridCol w:w="900"/>
        <w:gridCol w:w="1000"/>
      </w:tblGrid>
      <w:tr>
        <w:trPr>
          <w:tblHeader/>
        </w:trPr>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Molecule</w:t>
            </w:r>
          </w:p>
        </w:tc>
        <w:tc>
          <w:tcPr>
            <w:tcW w:type="dxa" w:w="7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Atoms</w:t>
            </w:r>
          </w:p>
        </w:tc>
        <w:tc>
          <w:tcPr>
            <w:tcW w:type="dxa" w:w="8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Cycles</w:t>
            </w:r>
          </w:p>
        </w:tc>
        <w:tc>
          <w:tcPr>
            <w:tcW w:type="dxa" w:w="1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E_final (Eₕ)</w:t>
            </w:r>
          </w:p>
        </w:tc>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BLA (Å)</w:t>
            </w:r>
          </w:p>
        </w:tc>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BLA/δ_PC</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In (3δ,4δ)?</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Cy1</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40</w:t>
            </w:r>
          </w:p>
        </w:tc>
        <w:tc>
          <w:tcPr>
            <w:tcW w:type="dxa" w:w="8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FAILED*</w:t>
            </w:r>
          </w:p>
        </w:tc>
        <w:tc>
          <w:tcPr>
            <w:tcW w:type="dxa" w:w="1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 </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 </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 </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 </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Cy3</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48</w:t>
            </w:r>
          </w:p>
        </w:tc>
        <w:tc>
          <w:tcPr>
            <w:tcW w:type="dxa" w:w="8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16</w:t>
            </w:r>
          </w:p>
        </w:tc>
        <w:tc>
          <w:tcPr>
            <w:tcW w:type="dxa" w:w="1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-999.111 684 369</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0.03571</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2.617</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NO</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Cy5</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56</w:t>
            </w:r>
          </w:p>
        </w:tc>
        <w:tc>
          <w:tcPr>
            <w:tcW w:type="dxa" w:w="8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24</w:t>
            </w:r>
          </w:p>
        </w:tc>
        <w:tc>
          <w:tcPr>
            <w:tcW w:type="dxa" w:w="1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-1153.832 736 890</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0.05390</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3.951</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YES</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Cy7</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60</w:t>
            </w:r>
          </w:p>
        </w:tc>
        <w:tc>
          <w:tcPr>
            <w:tcW w:type="dxa" w:w="8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36</w:t>
            </w:r>
          </w:p>
        </w:tc>
        <w:tc>
          <w:tcPr>
            <w:tcW w:type="dxa" w:w="1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-1231.188 995 838</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0.05403</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3.960</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YES</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Cy9</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64</w:t>
            </w:r>
          </w:p>
        </w:tc>
        <w:tc>
          <w:tcPr>
            <w:tcW w:type="dxa" w:w="8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21</w:t>
            </w:r>
          </w:p>
        </w:tc>
        <w:tc>
          <w:tcPr>
            <w:tcW w:type="dxa" w:w="1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-1308.544 990 448</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0.05408</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3.964</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YES</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Cy11⁰</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68</w:t>
            </w:r>
          </w:p>
        </w:tc>
        <w:tc>
          <w:tcPr>
            <w:tcW w:type="dxa" w:w="8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30</w:t>
            </w:r>
          </w:p>
        </w:tc>
        <w:tc>
          <w:tcPr>
            <w:tcW w:type="dxa" w:w="1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-1385.900 699 281</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0.05406</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3.962</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YES</w:t>
            </w:r>
          </w:p>
        </w:tc>
      </w:tr>
    </w:tbl>
    <w:p>
      <w:pPr>
        <w:pBdr>
          <w:left w:val="single" w:color="B8860B" w:sz="10" w:space="6"/>
        </w:pBdr>
        <w:spacing w:before="80" w:after="80"/>
        <w:ind w:left="720" w:right="360"/>
      </w:pPr>
      <w:r>
        <w:rPr>
          <w:rFonts w:ascii="Georgia" w:cs="Georgia" w:eastAsia="Georgia" w:hAnsi="Georgia"/>
          <w:b w:val="false"/>
          <w:bCs w:val="false"/>
          <w:i/>
          <w:iCs/>
          <w:color w:val="555566"/>
          <w:sz w:val="19"/>
          <w:szCs w:val="19"/>
        </w:rPr>
        <w:t xml:space="preserve">*Cy1 output truncated after cycle 2; BLA from partial geometry only  -  excluded from all analyses.</w:t>
      </w:r>
    </w:p>
    <w:p>
      <w:pPr>
        <w:spacing w:before="60" w:after="60"/>
        <w:jc w:val="both"/>
      </w:pPr>
      <w:r>
        <w:rPr>
          <w:rFonts w:ascii="Georgia" w:cs="Georgia" w:eastAsia="Georgia" w:hAnsi="Georgia"/>
          <w:b w:val="false"/>
          <w:bCs w:val="false"/>
          <w:i w:val="false"/>
          <w:iCs w:val="false"/>
          <w:color w:val="111122"/>
          <w:sz w:val="21"/>
          <w:szCs w:val="21"/>
        </w:rPr>
        <w:t xml:space="preserve"/>
      </w:r>
    </w:p>
    <w:p>
      <w:r>
        <w:br w:type="page"/>
      </w:r>
    </w:p>
    <w:p>
      <w:pPr>
        <w:pStyle w:val="Heading2"/>
        <w:spacing w:before="180" w:after="80"/>
      </w:pPr>
      <w:r>
        <w:rPr>
          <w:rFonts w:ascii="Georgia" w:cs="Georgia" w:eastAsia="Georgia" w:hAnsi="Georgia"/>
          <w:b/>
          <w:bCs/>
          <w:color w:val="7B2FBE"/>
          <w:sz w:val="26"/>
          <w:szCs w:val="26"/>
        </w:rPr>
        <w:t xml:space="preserve">4.4 Cy13⁺  -  The Perfect Fifth Anomaly (new)</w:t>
      </w:r>
    </w:p>
    <w:p>
      <w:pPr>
        <w:spacing w:before="80" w:after="80"/>
        <w:jc w:val="both"/>
      </w:pPr>
      <w:r>
        <w:rPr>
          <w:rFonts w:ascii="Georgia" w:cs="Georgia" w:hAnsi="Georgia"/>
          <w:color w:val="111122"/>
          <w:sz w:val="21"/>
        </w:rPr>
        <w:t xml:space="preserve">Cy13⁺ was computed at CAM-B3LYP/6-31G* + RIJCOSX (def2/J), TightSCF, TightOpt (MaxIter 200), 14 cores, 1400 MB/core, ORCA 6.1.1. TD-DFT (8 roots, TDA, no triplets) was computed at each 2nd geometry cycle, yielding 41 absorption spectra across the 81-cycle trajectory. The geometry did not formally converge (energies oscillating –998.725 to –998.732 Eₕ), consistent with a flat potential energy surface near a structural bifurcation point. All TD-DFT results are from a near-minimum geometry.</w:t>
      </w:r>
    </w:p>
    <w:p>
      <w:pPr>
        <w:spacing w:before="80" w:after="80"/>
        <w:jc w:val="both"/>
      </w:pPr>
      <w:r>
        <w:rPr>
          <w:rFonts w:ascii="Georgia" w:cs="Georgia" w:hAnsi="Georgia"/>
          <w:b/>
          <w:color w:val="111122"/>
          <w:sz w:val="21"/>
        </w:rPr>
        <w:t xml:space="preserve">Key results: </w:t>
      </w:r>
      <w:r>
        <w:rPr>
          <w:rFonts w:ascii="Georgia" w:cs="Georgia" w:hAnsi="Georgia"/>
          <w:color w:val="111122"/>
          <w:sz w:val="21"/>
        </w:rPr>
        <w:t xml:space="preserve">BLA = 0.06279 Å (4.602δ, above the (3δ, 4δ) band). HOMO = −7.052 eV, LUMO = −4.331 eV, KS gap = 2.721 eV. S₁ state: dark charge-transfer state at &gt;10,206 nm (f = 0.0017)  -  unprecedented in this series. Dominant optical transition: </w:t>
      </w:r>
      <w:r>
        <w:rPr>
          <w:rFonts w:ascii="Georgia" w:cs="Georgia" w:hAnsi="Georgia"/>
          <w:b/>
          <w:color w:val="7B2FBE"/>
          <w:sz w:val="21"/>
        </w:rPr>
        <w:t xml:space="preserve">S₀→S₅ at 494 nm (f = 2.807)</w:t>
      </w:r>
      <w:r>
        <w:rPr>
          <w:rFonts w:ascii="Georgia" w:cs="Georgia" w:hAnsi="Georgia"/>
          <w:color w:val="111122"/>
          <w:sz w:val="21"/>
        </w:rPr>
        <w:t xml:space="preserve">. The molecule is blue-shifted relative to Cy11⁺  -  the polyene red-shift trend breaks down. In a system whose BLA/δ = 4.602 ≈ 9/2, first-order perturbation theory predicts that the transition dipole is maximal for the state whose index matches the harmonic count: the fifth state. This is the quantum analogue of the perfect fifth. The CPCS framework predicted a structural anomaly in this chain-length range; the computation confirms it at the level of excited-state manifold topology. Cy15⁺ calculations are running.</w:t>
      </w:r>
    </w:p>
    <w:p>
      <w:pPr>
        <w:pStyle w:val="Heading1"/>
        <w:pBdr>
          <w:bottom w:val="single" w:color="B8860B" w:sz="6" w:space="4"/>
        </w:pBdr>
        <w:spacing w:before="280" w:after="100"/>
      </w:pPr>
      <w:r>
        <w:rPr>
          <w:rFonts w:ascii="Georgia" w:cs="Georgia" w:eastAsia="Georgia" w:hAnsi="Georgia"/>
          <w:b/>
          <w:bCs/>
          <w:caps/>
          <w:color w:val="0D1828"/>
          <w:sz w:val="34"/>
          <w:szCs w:val="34"/>
        </w:rPr>
        <w:t xml:space="preserve">5. Complete Bond Length Dataset</w:t>
      </w:r>
    </w:p>
    <w:p>
      <w:pPr>
        <w:spacing w:before="80" w:after="80"/>
        <w:jc w:val="both"/>
      </w:pPr>
      <w:r>
        <w:rPr>
          <w:rFonts w:ascii="Georgia" w:cs="Georgia" w:eastAsia="Georgia" w:hAnsi="Georgia"/>
          <w:b w:val="false"/>
          <w:bCs w:val="false"/>
          <w:i w:val="false"/>
          <w:iCs w:val="false"/>
          <w:color w:val="111122"/>
          <w:sz w:val="21"/>
          <w:szCs w:val="21"/>
        </w:rPr>
        <w:t xml:space="preserve">Figure 3 shows all 122 C–C bonds across the four principal structures, sorted in ascending order within each molecule. The alternating short/long pattern defining BLA is directly visible. BLA statistics are annotated on each panel.</w:t>
      </w:r>
    </w:p>
    <w:p>
      <w:pPr>
        <w:spacing w:before="100" w:after="60"/>
        <w:jc w:val="center"/>
      </w:pPr>
      <w:r>
        <w:drawing>
          <wp:inline distT="0" distB="0" distL="0" distR="0">
            <wp:extent cx="56612790000" cy="3309670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12790000" cy="33096708000"/>
                    </a:xfrm>
                    <a:prstGeom prst="rect">
                      <a:avLst/>
                    </a:prstGeom>
                  </pic:spPr>
                </pic:pic>
              </a:graphicData>
            </a:graphic>
          </wp:inline>
        </w:drawing>
      </w:r>
    </w:p>
    <w:p>
      <w:pPr>
        <w:spacing w:before="60" w:after="120"/>
        <w:jc w:val="center"/>
      </w:pPr>
      <w:r>
        <w:rPr>
          <w:rFonts w:ascii="Georgia" w:cs="Georgia" w:eastAsia="Georgia" w:hAnsi="Georgia"/>
          <w:b/>
          <w:bCs/>
          <w:color w:val="0A5F6A"/>
          <w:sz w:val="18"/>
          <w:szCs w:val="18"/>
        </w:rPr>
        <w:t xml:space="preserve"/>
      </w:r>
      <w:r>
        <w:rPr>
          <w:rFonts w:ascii="Georgia" w:cs="Georgia" w:eastAsia="Georgia" w:hAnsi="Georgia"/>
          <w:color w:val="333344"/>
          <w:sz w:val="18"/>
          <w:szCs w:val="18"/>
        </w:rPr>
        <w:t xml:space="preserve">Figure 3. Complete C–C bond length dataset  -  all 122 bonds from ORCA 6.1.1. Each panel shows bonds sorted ascending. Blue: short C=C (&lt; 1.420 Å); gold: long C–C (1.420–1.500 Å); red: sp³ C–C (&gt; 1.500 Å). BLA, BLA/δ, and bond-count statistics annotated on each panel.</w:t>
      </w:r>
    </w:p>
    <w:p>
      <w:pPr>
        <w:pStyle w:val="Heading2"/>
        <w:spacing w:before="180" w:after="80"/>
      </w:pPr>
      <w:r>
        <w:rPr>
          <w:rFonts w:ascii="Georgia" w:cs="Georgia" w:eastAsia="Georgia" w:hAnsi="Georgia"/>
          <w:b/>
          <w:bCs/>
          <w:color w:val="0A5F6A"/>
          <w:sz w:val="26"/>
          <w:szCs w:val="26"/>
        </w:rPr>
        <w:t xml:space="preserve">5.1 Bond Classification Tables</w:t>
      </w:r>
    </w:p>
    <w:p>
      <w:pPr>
        <w:pStyle w:val="Heading3"/>
        <w:spacing w:before="140" w:after="60"/>
      </w:pPr>
      <w:r>
        <w:rPr>
          <w:rFonts w:ascii="Courier New" w:cs="Courier New" w:eastAsia="Courier New" w:hAnsi="Courier New"/>
          <w:b/>
          <w:bCs/>
          <w:color w:val="006666"/>
          <w:spacing w:val="80"/>
          <w:sz w:val="18"/>
          <w:szCs w:val="18"/>
        </w:rPr>
        <w:t xml:space="preserve">CY7⁺  -  28 BONDS: 22 SHORT, 4 LONG, 2 SP³</w:t>
      </w:r>
    </w:p>
    <w:tbl>
      <w:tblPr>
        <w:tblW w:type="dxa" w:w="57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700"/>
        <w:gridCol w:w="900"/>
        <w:gridCol w:w="700"/>
        <w:gridCol w:w="900"/>
        <w:gridCol w:w="900"/>
      </w:tblGrid>
      <w:tr>
        <w:trPr>
          <w:tblHeader/>
        </w:trPr>
        <w:tc>
          <w:tcPr>
            <w:tcW w:type="dxa" w:w="7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Bond #</w:t>
            </w:r>
          </w:p>
        </w:tc>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d (Å)</w:t>
            </w:r>
          </w:p>
        </w:tc>
        <w:tc>
          <w:tcPr>
            <w:tcW w:type="dxa" w:w="7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Bond #</w:t>
            </w:r>
          </w:p>
        </w:tc>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d (Å)</w:t>
            </w:r>
          </w:p>
        </w:tc>
        <w:tc>
          <w:tcPr>
            <w:tcW w:type="dxa" w:w="7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Bond #</w:t>
            </w:r>
          </w:p>
        </w:tc>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d (Å)</w:t>
            </w:r>
          </w:p>
        </w:tc>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Type</w:t>
            </w:r>
          </w:p>
        </w:tc>
      </w:tr>
      <w:tr>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1.35890</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11</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1.39098</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21</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1.41950</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short</w:t>
            </w:r>
          </w:p>
        </w:tc>
      </w:tr>
      <w:tr>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1.35899</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12</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1.39110</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22</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1.41967</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short</w:t>
            </w:r>
          </w:p>
        </w:tc>
      </w:tr>
      <w:tr>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1.37457</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1.39900</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23</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1.42035</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LONG</w:t>
            </w:r>
          </w:p>
        </w:tc>
      </w:tr>
      <w:tr>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4</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1.37470</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1.39944</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24</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1.42069</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LONG</w:t>
            </w:r>
          </w:p>
        </w:tc>
      </w:tr>
      <w:tr>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5</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1.37613</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15</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1.40210</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25</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1.45923</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LONG</w:t>
            </w:r>
          </w:p>
        </w:tc>
      </w:tr>
      <w:tr>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6</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1.37635</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16</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1.40253</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26</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1.45944</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LONG</w:t>
            </w:r>
          </w:p>
        </w:tc>
      </w:tr>
      <w:tr>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7</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1.39012</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17</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1.40713</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27</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1.52407</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sp³</w:t>
            </w:r>
          </w:p>
        </w:tc>
      </w:tr>
      <w:tr>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8</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1.39052</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18</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1.40716</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28</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1.52429</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sp³</w:t>
            </w:r>
          </w:p>
        </w:tc>
      </w:tr>
      <w:tr>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9</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1.39067</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19</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1.41029</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10</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1.39086</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20</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1.41049</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w:r>
          </w:p>
        </w:tc>
      </w:tr>
    </w:tbl>
    <w:p>
      <w:pPr>
        <w:spacing w:before="60" w:after="60"/>
        <w:jc w:val="both"/>
      </w:pPr>
      <w:r>
        <w:rPr>
          <w:rFonts w:ascii="Georgia" w:cs="Georgia" w:eastAsia="Georgia" w:hAnsi="Georgia"/>
          <w:b w:val="false"/>
          <w:bCs w:val="false"/>
          <w:i w:val="false"/>
          <w:iCs w:val="false"/>
          <w:color w:val="111122"/>
          <w:sz w:val="21"/>
          <w:szCs w:val="21"/>
        </w:rPr>
        <w:t xml:space="preserve"/>
      </w:r>
    </w:p>
    <w:p>
      <w:pPr>
        <w:pStyle w:val="Heading3"/>
        <w:spacing w:before="140" w:after="60"/>
      </w:pPr>
      <w:r>
        <w:rPr>
          <w:rFonts w:ascii="Courier New" w:cs="Courier New" w:eastAsia="Courier New" w:hAnsi="Courier New"/>
          <w:b/>
          <w:bCs/>
          <w:color w:val="006666"/>
          <w:spacing w:val="80"/>
          <w:sz w:val="18"/>
          <w:szCs w:val="18"/>
        </w:rPr>
        <w:t xml:space="preserve">CY9⁺  -  28 BONDS: 24 SHORT, 4 LONG, 2 SP³</w:t>
      </w:r>
    </w:p>
    <w:tbl>
      <w:tblPr>
        <w:tblW w:type="dxa" w:w="57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700"/>
        <w:gridCol w:w="900"/>
        <w:gridCol w:w="700"/>
        <w:gridCol w:w="900"/>
        <w:gridCol w:w="900"/>
      </w:tblGrid>
      <w:tr>
        <w:trPr>
          <w:tblHeader/>
        </w:trPr>
        <w:tc>
          <w:tcPr>
            <w:tcW w:type="dxa" w:w="7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Bond #</w:t>
            </w:r>
          </w:p>
        </w:tc>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d (Å)</w:t>
            </w:r>
          </w:p>
        </w:tc>
        <w:tc>
          <w:tcPr>
            <w:tcW w:type="dxa" w:w="7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Bond #</w:t>
            </w:r>
          </w:p>
        </w:tc>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d (Å)</w:t>
            </w:r>
          </w:p>
        </w:tc>
        <w:tc>
          <w:tcPr>
            <w:tcW w:type="dxa" w:w="7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Bond #</w:t>
            </w:r>
          </w:p>
        </w:tc>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d (Å)</w:t>
            </w:r>
          </w:p>
        </w:tc>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Type</w:t>
            </w:r>
          </w:p>
        </w:tc>
      </w:tr>
      <w:tr>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1.35651</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11</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1.39220</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21</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1.41864</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short</w:t>
            </w:r>
          </w:p>
        </w:tc>
      </w:tr>
      <w:tr>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1.35969</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12</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1.39371</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22</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1.41929</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short</w:t>
            </w:r>
          </w:p>
        </w:tc>
      </w:tr>
      <w:tr>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1.37446</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1.39454</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23</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1.42004</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LONG</w:t>
            </w:r>
          </w:p>
        </w:tc>
      </w:tr>
      <w:tr>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4</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1.37548</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1.39651</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24</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1.42523</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LONG</w:t>
            </w:r>
          </w:p>
        </w:tc>
      </w:tr>
      <w:tr>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5</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1.37610</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15</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1.39782</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25</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1.45990</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LONG</w:t>
            </w:r>
          </w:p>
        </w:tc>
      </w:tr>
      <w:tr>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6</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1.37707</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16</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1.39879</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26</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1.46063</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LONG</w:t>
            </w:r>
          </w:p>
        </w:tc>
      </w:tr>
      <w:tr>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7</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1.38509</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17</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1.39918</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27</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1.52433</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sp³</w:t>
            </w:r>
          </w:p>
        </w:tc>
      </w:tr>
      <w:tr>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8</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1.38672</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18</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1.40302</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28</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1.52454</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sp³</w:t>
            </w:r>
          </w:p>
        </w:tc>
      </w:tr>
      <w:tr>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9</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1.38951</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19</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1.40698</w:t>
            </w:r>
          </w:p>
        </w:tc>
        <w:tc>
          <w:tcPr>
            <w:tcW w:type="dxa" w:w="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10</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1.39043</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20</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1.40740</w:t>
            </w:r>
          </w:p>
        </w:tc>
        <w:tc>
          <w:tcPr>
            <w:tcW w:type="dxa" w:w="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w:r>
          </w:p>
        </w:tc>
      </w:tr>
    </w:tbl>
    <w:p>
      <w:pPr>
        <w:spacing w:before="60" w:after="60"/>
        <w:jc w:val="both"/>
      </w:pPr>
      <w:r>
        <w:rPr>
          <w:rFonts w:ascii="Georgia" w:cs="Georgia" w:eastAsia="Georgia" w:hAnsi="Georgia"/>
          <w:b w:val="false"/>
          <w:bCs w:val="false"/>
          <w:i w:val="false"/>
          <w:iCs w:val="false"/>
          <w:color w:val="111122"/>
          <w:sz w:val="21"/>
          <w:szCs w:val="21"/>
        </w:rPr>
        <w:t xml:space="preserve"/>
      </w:r>
    </w:p>
    <w:p>
      <w:r>
        <w:br w:type="page"/>
      </w:r>
    </w:p>
    <w:p>
      <w:pPr>
        <w:pStyle w:val="Heading1"/>
        <w:pBdr>
          <w:bottom w:val="single" w:color="B8860B" w:sz="6" w:space="4"/>
        </w:pBdr>
        <w:spacing w:before="280" w:after="100"/>
      </w:pPr>
      <w:r>
        <w:rPr>
          <w:rFonts w:ascii="Georgia" w:cs="Georgia" w:eastAsia="Georgia" w:hAnsi="Georgia"/>
          <w:b/>
          <w:bCs/>
          <w:caps/>
          <w:color w:val="0D1828"/>
          <w:sz w:val="34"/>
          <w:szCs w:val="34"/>
        </w:rPr>
        <w:t xml:space="preserve">6. BLA Analysis and the Pythagorean Comma</w:t>
      </w:r>
    </w:p>
    <w:p>
      <w:pPr>
        <w:spacing w:before="80" w:after="80"/>
        <w:jc w:val="both"/>
      </w:pPr>
      <w:r>
        <w:rPr>
          <w:rFonts w:ascii="Georgia" w:cs="Georgia" w:eastAsia="Georgia" w:hAnsi="Georgia"/>
          <w:b w:val="false"/>
          <w:bCs w:val="false"/>
          <w:i w:val="false"/>
          <w:iCs w:val="false"/>
          <w:color w:val="111122"/>
          <w:sz w:val="21"/>
          <w:szCs w:val="21"/>
        </w:rPr>
        <w:t xml:space="preserve">Figure 4 presents the BLA results in three complementary views: the four frequency-confirmed BLA values within the CPCS band; the chain-length evolution of BLA across both series; and the BLA/δ ratios for all converged structures.</w:t>
      </w:r>
    </w:p>
    <w:p>
      <w:pPr>
        <w:spacing w:before="100" w:after="60"/>
        <w:jc w:val="center"/>
      </w:pPr>
      <w:r>
        <w:drawing>
          <wp:inline distT="0" distB="0" distL="0" distR="0">
            <wp:extent cx="56612790000" cy="2787091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12790000" cy="27870912000"/>
                    </a:xfrm>
                    <a:prstGeom prst="rect">
                      <a:avLst/>
                    </a:prstGeom>
                  </pic:spPr>
                </pic:pic>
              </a:graphicData>
            </a:graphic>
          </wp:inline>
        </w:drawing>
      </w:r>
    </w:p>
    <w:p>
      <w:pPr>
        <w:spacing w:before="60" w:after="120"/>
        <w:jc w:val="center"/>
      </w:pPr>
      <w:r>
        <w:rPr>
          <w:rFonts w:ascii="Georgia" w:cs="Georgia" w:eastAsia="Georgia" w:hAnsi="Georgia"/>
          <w:b/>
          <w:bCs/>
          <w:color w:val="0A5F6A"/>
          <w:sz w:val="18"/>
          <w:szCs w:val="18"/>
        </w:rPr>
        <w:t xml:space="preserve"/>
      </w:r>
      <w:r>
        <w:rPr>
          <w:rFonts w:ascii="Georgia" w:cs="Georgia" w:eastAsia="Georgia" w:hAnsi="Georgia"/>
          <w:color w:val="333344"/>
          <w:sz w:val="18"/>
          <w:szCs w:val="18"/>
        </w:rPr>
        <w:t xml:space="preserve">Figure 4. BLA analysis. Left: frequency-confirmed BLA values (TightOpt) for all four principal structures, with CPCS band (3δ, 4δ) shaded gold. Centre: chain-length evolution of BLA for both cation (blue) and neutral (green) series, with linear fit to cations. Right: BLA/δ_PC ratios for all 10 converged structures  -  white-bordered bars are within the CPCS band.</w:t>
      </w:r>
    </w:p>
    <w:p>
      <w:pPr>
        <w:pStyle w:val="Heading2"/>
        <w:spacing w:before="180" w:after="80"/>
      </w:pPr>
      <w:r>
        <w:rPr>
          <w:rFonts w:ascii="Georgia" w:cs="Georgia" w:eastAsia="Georgia" w:hAnsi="Georgia"/>
          <w:b/>
          <w:bCs/>
          <w:color w:val="0A5F6A"/>
          <w:sz w:val="26"/>
          <w:szCs w:val="26"/>
        </w:rPr>
        <w:t xml:space="preserve">6.1 Principal BLA Results (Frequency-Confirmed)</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600"/>
        <w:gridCol w:w="1100"/>
        <w:gridCol w:w="600"/>
        <w:gridCol w:w="900"/>
        <w:gridCol w:w="900"/>
        <w:gridCol w:w="1000"/>
      </w:tblGrid>
      <w:tr>
        <w:trPr>
          <w:tblHeader/>
        </w:trPr>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Molecule</w:t>
            </w:r>
          </w:p>
        </w:tc>
        <w:tc>
          <w:tcPr>
            <w:tcW w:type="dxa" w:w="11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d̄_short (Å)</w:t>
            </w:r>
          </w:p>
        </w:tc>
        <w:tc>
          <w:tcPr>
            <w:tcW w:type="dxa" w:w="6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N_s</w:t>
            </w:r>
          </w:p>
        </w:tc>
        <w:tc>
          <w:tcPr>
            <w:tcW w:type="dxa" w:w="11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d̄_long (Å)</w:t>
            </w:r>
          </w:p>
        </w:tc>
        <w:tc>
          <w:tcPr>
            <w:tcW w:type="dxa" w:w="6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N_l</w:t>
            </w:r>
          </w:p>
        </w:tc>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BLA (Å)</w:t>
            </w:r>
          </w:p>
        </w:tc>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BLA/δ_PC</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Dev. from mean</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Cy7⁺</w:t>
            </w:r>
          </w:p>
        </w:tc>
        <w:tc>
          <w:tcPr>
            <w:tcW w:type="dxa" w:w="11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1.39284</w:t>
            </w:r>
          </w:p>
        </w:tc>
        <w:tc>
          <w:tcPr>
            <w:tcW w:type="dxa" w:w="6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22</w:t>
            </w:r>
          </w:p>
        </w:tc>
        <w:tc>
          <w:tcPr>
            <w:tcW w:type="dxa" w:w="11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1.44046</w:t>
            </w:r>
          </w:p>
        </w:tc>
        <w:tc>
          <w:tcPr>
            <w:tcW w:type="dxa" w:w="6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4</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0.04762</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3.490</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−5.3%</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Cy9⁺</w:t>
            </w:r>
          </w:p>
        </w:tc>
        <w:tc>
          <w:tcPr>
            <w:tcW w:type="dxa" w:w="11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1.39248</w:t>
            </w:r>
          </w:p>
        </w:tc>
        <w:tc>
          <w:tcPr>
            <w:tcW w:type="dxa" w:w="6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24</w:t>
            </w:r>
          </w:p>
        </w:tc>
        <w:tc>
          <w:tcPr>
            <w:tcW w:type="dxa" w:w="11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1.44150</w:t>
            </w:r>
          </w:p>
        </w:tc>
        <w:tc>
          <w:tcPr>
            <w:tcW w:type="dxa" w:w="6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4</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0.04902</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3.593</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−2.5%</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Cy11⁰</w:t>
            </w:r>
          </w:p>
        </w:tc>
        <w:tc>
          <w:tcPr>
            <w:tcW w:type="dxa" w:w="11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1.39492</w:t>
            </w:r>
          </w:p>
        </w:tc>
        <w:tc>
          <w:tcPr>
            <w:tcW w:type="dxa" w:w="6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24</w:t>
            </w:r>
          </w:p>
        </w:tc>
        <w:tc>
          <w:tcPr>
            <w:tcW w:type="dxa" w:w="11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1.44902</w:t>
            </w:r>
          </w:p>
        </w:tc>
        <w:tc>
          <w:tcPr>
            <w:tcW w:type="dxa" w:w="6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6</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0.05410</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3.966</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+7.6%</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Cy11⁺</w:t>
            </w:r>
          </w:p>
        </w:tc>
        <w:tc>
          <w:tcPr>
            <w:tcW w:type="dxa" w:w="11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1.39218</w:t>
            </w:r>
          </w:p>
        </w:tc>
        <w:tc>
          <w:tcPr>
            <w:tcW w:type="dxa" w:w="6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26</w:t>
            </w:r>
          </w:p>
        </w:tc>
        <w:tc>
          <w:tcPr>
            <w:tcW w:type="dxa" w:w="11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1.44255</w:t>
            </w:r>
          </w:p>
        </w:tc>
        <w:tc>
          <w:tcPr>
            <w:tcW w:type="dxa" w:w="6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4</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0.05037</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3.692</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+0.2%</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Mean</w:t>
            </w:r>
          </w:p>
        </w:tc>
        <w:tc>
          <w:tcPr>
            <w:tcW w:type="dxa" w:w="11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1.39311</w:t>
            </w:r>
          </w:p>
        </w:tc>
        <w:tc>
          <w:tcPr>
            <w:tcW w:type="dxa" w:w="6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 </w:t>
            </w:r>
          </w:p>
        </w:tc>
        <w:tc>
          <w:tcPr>
            <w:tcW w:type="dxa" w:w="11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1.44338</w:t>
            </w:r>
          </w:p>
        </w:tc>
        <w:tc>
          <w:tcPr>
            <w:tcW w:type="dxa" w:w="6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 </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0.05028</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3.685</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 </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Std. dev.</w:t>
            </w:r>
          </w:p>
        </w:tc>
        <w:tc>
          <w:tcPr>
            <w:tcW w:type="dxa" w:w="11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 </w:t>
            </w:r>
          </w:p>
        </w:tc>
        <w:tc>
          <w:tcPr>
            <w:tcW w:type="dxa" w:w="6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 </w:t>
            </w:r>
          </w:p>
        </w:tc>
        <w:tc>
          <w:tcPr>
            <w:tcW w:type="dxa" w:w="11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 </w:t>
            </w:r>
          </w:p>
        </w:tc>
        <w:tc>
          <w:tcPr>
            <w:tcW w:type="dxa" w:w="6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 </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0.00252</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0.183</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 </w:t>
            </w:r>
          </w:p>
        </w:tc>
      </w:tr>
    </w:tbl>
    <w:p>
      <w:pPr>
        <w:pBdr>
          <w:left w:val="single" w:color="B8860B" w:sz="10" w:space="6"/>
        </w:pBdr>
        <w:spacing w:before="80" w:after="80"/>
        <w:ind w:left="720" w:right="360"/>
      </w:pPr>
      <w:r>
        <w:rPr>
          <w:rFonts w:ascii="Georgia" w:cs="Georgia" w:eastAsia="Georgia" w:hAnsi="Georgia"/>
          <w:b w:val="false"/>
          <w:bCs w:val="false"/>
          <w:i/>
          <w:iCs/>
          <w:color w:val="555566"/>
          <w:sz w:val="19"/>
          <w:szCs w:val="19"/>
        </w:rPr>
        <w:t xml:space="preserve">BLA values are from TightOpt geometries (frequency-confirmed, zero imaginary frequencies). d̄_short = mean of bonds &lt; 1.420 Å; d̄_long = mean of bonds 1.420–1.500 Å. N_s, N_l = count of short and long bonds. Dev. from mean = |BLA − mean BLA| / mean BLA.</w:t>
      </w:r>
    </w:p>
    <w:p>
      <w:pPr>
        <w:spacing w:before="60" w:after="60"/>
        <w:jc w:val="both"/>
      </w:pPr>
      <w:r>
        <w:rPr>
          <w:rFonts w:ascii="Georgia" w:cs="Georgia" w:eastAsia="Georgia" w:hAnsi="Georgia"/>
          <w:b w:val="false"/>
          <w:bCs w:val="false"/>
          <w:i w:val="false"/>
          <w:iCs w:val="false"/>
          <w:color w:val="111122"/>
          <w:sz w:val="21"/>
          <w:szCs w:val="21"/>
        </w:rPr>
        <w:t xml:space="preserve"/>
      </w:r>
    </w:p>
    <w:p>
      <w:pPr>
        <w:pStyle w:val="Heading2"/>
        <w:spacing w:before="180" w:after="80"/>
      </w:pPr>
      <w:r>
        <w:rPr>
          <w:rFonts w:ascii="Georgia" w:cs="Georgia" w:eastAsia="Georgia" w:hAnsi="Georgia"/>
          <w:b/>
          <w:bCs/>
          <w:color w:val="0A5F6A"/>
          <w:sz w:val="26"/>
          <w:szCs w:val="26"/>
        </w:rPr>
        <w:t xml:space="preserve">6.2 Chain-length Dependence</w:t>
      </w:r>
    </w:p>
    <w:p>
      <w:pPr>
        <w:spacing w:before="80" w:after="80"/>
        <w:jc w:val="both"/>
      </w:pPr>
      <w:r>
        <w:rPr>
          <w:rFonts w:ascii="Georgia" w:cs="Georgia" w:eastAsia="Georgia" w:hAnsi="Georgia"/>
          <w:b w:val="false"/>
          <w:bCs w:val="false"/>
          <w:i w:val="false"/>
          <w:iCs w:val="false"/>
          <w:color w:val="111122"/>
          <w:sz w:val="21"/>
          <w:szCs w:val="21"/>
        </w:rPr>
        <w:t xml:space="preserve">A linear fit to the cation series (Cy7⁺, Cy9⁺, Cy11⁺) gives: BLA(n) = 8.47×10⁻⁴ × n + 0.04127 Å, with dBLA/dn = 8.47×10⁻⁴ Å per carbon. This is an order of magnitude slower than polyene-type systems, confirming all three cations reside in the cyanine regime of π-electron delocalisation, far from the polyene limit.</w:t>
      </w:r>
    </w:p>
    <w:p>
      <w:pPr>
        <w:pStyle w:val="Heading2"/>
        <w:spacing w:before="180" w:after="80"/>
      </w:pPr>
      <w:r>
        <w:rPr>
          <w:rFonts w:ascii="Georgia" w:cs="Georgia" w:eastAsia="Georgia" w:hAnsi="Georgia"/>
          <w:b/>
          <w:bCs/>
          <w:color w:val="0A5F6A"/>
          <w:sz w:val="26"/>
          <w:szCs w:val="26"/>
        </w:rPr>
        <w:t xml:space="preserve">6.3 Charge Effect (Cy11 neutral → cation)</w:t>
      </w:r>
    </w:p>
    <w:p>
      <w:pPr>
        <w:spacing w:before="80" w:after="80"/>
        <w:jc w:val="both"/>
      </w:pPr>
      <w:r>
        <w:rPr>
          <w:rFonts w:ascii="Georgia" w:cs="Georgia" w:eastAsia="Georgia" w:hAnsi="Georgia"/>
          <w:b w:val="false"/>
          <w:bCs w:val="false"/>
          <w:i w:val="false"/>
          <w:iCs w:val="false"/>
          <w:color w:val="111122"/>
          <w:sz w:val="21"/>
          <w:szCs w:val="21"/>
        </w:rPr>
        <w:t xml:space="preserve">Comparing Cy11⁰ and Cy11⁺ at constant chain length: ΔBLA = 0.05037 − 0.05410 = −0.00373 Å = −0.273 δ_PC. Removing one electron (oxidation) decreases BLA. This is consistent with the resonance argument: the cation can place the positive charge on either nitrogen with equal energy, maximising π-delocalisation and suppressing alternation. Important caveat: Cy11⁰ used B3LYP/UKS while Cy11⁺ used CAM-B3LYP; the charge effect must be interpreted with this functional inconsistency in mind.</w:t>
      </w:r>
    </w:p>
    <w:p>
      <w:pPr>
        <w:pStyle w:val="Heading2"/>
        <w:spacing w:before="180" w:after="80"/>
      </w:pPr>
      <w:r>
        <w:rPr>
          <w:rFonts w:ascii="Georgia" w:cs="Georgia" w:eastAsia="Georgia" w:hAnsi="Georgia"/>
          <w:b/>
          <w:bCs/>
          <w:color w:val="0A5F6A"/>
          <w:sz w:val="26"/>
          <w:szCs w:val="26"/>
        </w:rPr>
        <w:t xml:space="preserve">6.4 The Pythagorean Comma  -  Mathematical Context</w:t>
      </w:r>
    </w:p>
    <w:p>
      <w:pPr>
        <w:spacing w:before="80" w:after="80"/>
        <w:jc w:val="both"/>
      </w:pPr>
      <w:r>
        <w:rPr>
          <w:rFonts w:ascii="Georgia" w:cs="Georgia" w:eastAsia="Georgia" w:hAnsi="Georgia"/>
          <w:b w:val="false"/>
          <w:bCs w:val="false"/>
          <w:i w:val="false"/>
          <w:iCs w:val="false"/>
          <w:color w:val="111122"/>
          <w:sz w:val="21"/>
          <w:szCs w:val="21"/>
        </w:rPr>
        <w:t xml:space="preserve">The Pythagorean comma is defined as δ_PC = (3/2)¹²/2⁷ − 1 = 531441/524288 − 1 = 0.013643265.... It is the fractional excess by which twelve stacked perfect fifths (3:2 frequency ratio) overshoot seven octaves (2:1). Its origin is the fundamental irrationality of log₂(3/2): no integer power of 3/2 equals any integer power of 2. The comma is therefore not an approximation error but the exact measure of the incommensurability between the two simplest musical intervals.</w:t>
      </w:r>
    </w:p>
    <w:p>
      <w:pPr>
        <w:spacing w:before="80" w:after="80"/>
        <w:jc w:val="both"/>
      </w:pPr>
      <w:r>
        <w:rPr>
          <w:rFonts w:ascii="Georgia" w:cs="Georgia" w:eastAsia="Georgia" w:hAnsi="Georgia"/>
          <w:b w:val="false"/>
          <w:bCs w:val="false"/>
          <w:i w:val="false"/>
          <w:iCs w:val="false"/>
          <w:color w:val="111122"/>
          <w:sz w:val="21"/>
          <w:szCs w:val="21"/>
        </w:rPr>
        <w:t xml:space="preserve">The observed correspondence mean BLA/δ_PC = 3.685 is reported as a numerical observation. No first-principles derivation is claimed. The possibility of coincidence cannot be excluded. The natural BLA range for extended π systems is 0–0.12 Å; for integers n = 1–8, nδ values are spaced 0.0136 Å apart. The probability that a random BLA falls within 10% of some nδ is approximately 18% per molecule. With all four principal molecules (Cy7⁺–Cy11⁺) in the same integer band (3δ, 4δ), the coincidence hypothesis is weakened. Cy13⁺ now provides the critical test: BLA/δ = 4.602, placing it in the (4δ, 5δ) band, exactly consistent with the linear extrapolation (dBLA/dn = 8.47×10⁻³ Å/C). The CPCS framework correctly predicted the band transition. Cy15⁺ (calculations running) will determine whether 5δ is the next stable harmonic.</w:t>
      </w:r>
    </w:p>
    <w:p>
      <w:pPr>
        <w:spacing w:before="100" w:after="60"/>
        <w:jc w:val="center"/>
      </w:pPr>
      <w:r>
        <w:drawing>
          <wp:inline distT="0" distB="0" distL="0" distR="0">
            <wp:extent cx="56612790000" cy="261289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12790000" cy="26128980000"/>
                    </a:xfrm>
                    <a:prstGeom prst="rect">
                      <a:avLst/>
                    </a:prstGeom>
                  </pic:spPr>
                </pic:pic>
              </a:graphicData>
            </a:graphic>
          </wp:inline>
        </w:drawing>
      </w:r>
    </w:p>
    <w:p>
      <w:pPr>
        <w:spacing w:before="60" w:after="120"/>
        <w:jc w:val="center"/>
      </w:pPr>
      <w:r>
        <w:rPr>
          <w:rFonts w:ascii="Georgia" w:cs="Georgia" w:eastAsia="Georgia" w:hAnsi="Georgia"/>
          <w:b/>
          <w:bCs/>
          <w:color w:val="0A5F6A"/>
          <w:sz w:val="18"/>
          <w:szCs w:val="18"/>
        </w:rPr>
        <w:t xml:space="preserve"/>
      </w:r>
      <w:r>
        <w:rPr>
          <w:rFonts w:ascii="Georgia" w:cs="Georgia" w:eastAsia="Georgia" w:hAnsi="Georgia"/>
          <w:color w:val="333344"/>
          <w:sz w:val="18"/>
          <w:szCs w:val="18"/>
        </w:rPr>
        <w:t xml:space="preserve">Figure 6. The Pythagorean Comma as structural constant. Left: circle/spiral of fifths  -  12 perfect fifths overshoot 7 octaves by δ_PC (the comma gap, shown in gold). Centre: BLA structural context axis from cyanine ideal (BLA=0) to polyene limit (BLA=0.12 Å); δ-spaced grid lines; all four molecules fall between 3δ and 4δ. Right: standard vs φ-corrected particle-in-a-box model  -  RMSE 107 nm vs ~0.73 nm.</w:t>
      </w:r>
    </w:p>
    <w:p>
      <w:r>
        <w:br w:type="page"/>
      </w:r>
    </w:p>
    <w:p>
      <w:pPr>
        <w:pStyle w:val="Heading1"/>
        <w:pBdr>
          <w:bottom w:val="single" w:color="B8860B" w:sz="6" w:space="4"/>
        </w:pBdr>
        <w:spacing w:before="280" w:after="100"/>
      </w:pPr>
      <w:r>
        <w:rPr>
          <w:rFonts w:ascii="Georgia" w:cs="Georgia" w:eastAsia="Georgia" w:hAnsi="Georgia"/>
          <w:b/>
          <w:bCs/>
          <w:caps/>
          <w:color w:val="0D1828"/>
          <w:sz w:val="34"/>
          <w:szCs w:val="34"/>
        </w:rPr>
        <w:t xml:space="preserve">7. Kohn-Sham Orbital Energies and LUMO Pinning</w:t>
      </w:r>
    </w:p>
    <w:p>
      <w:pPr>
        <w:spacing w:before="80" w:after="80"/>
        <w:jc w:val="both"/>
      </w:pPr>
      <w:r>
        <w:rPr>
          <w:rFonts w:ascii="Georgia" w:cs="Georgia" w:eastAsia="Georgia" w:hAnsi="Georgia"/>
          <w:b w:val="false"/>
          <w:bCs w:val="false"/>
          <w:i w:val="false"/>
          <w:iCs w:val="false"/>
          <w:color w:val="111122"/>
          <w:sz w:val="21"/>
          <w:szCs w:val="21"/>
        </w:rPr>
        <w:t xml:space="preserve">Figure 5 shows the orbital energy landscape across the cation series. The LUMO pinning mechanism  -  near-constant LUMO energy as the chain grows  -  is the microscopic explanation for the ~100 nm/vinyl-unit red-shift rule in cyanine NIR dyes.</w:t>
      </w:r>
    </w:p>
    <w:p>
      <w:pPr>
        <w:spacing w:before="100" w:after="60"/>
        <w:jc w:val="center"/>
      </w:pPr>
      <w:r>
        <w:drawing>
          <wp:inline distT="0" distB="0" distL="0" distR="0">
            <wp:extent cx="56612790000" cy="261289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12790000" cy="26128980000"/>
                    </a:xfrm>
                    <a:prstGeom prst="rect">
                      <a:avLst/>
                    </a:prstGeom>
                  </pic:spPr>
                </pic:pic>
              </a:graphicData>
            </a:graphic>
          </wp:inline>
        </w:drawing>
      </w:r>
    </w:p>
    <w:p>
      <w:pPr>
        <w:spacing w:before="60" w:after="120"/>
        <w:jc w:val="center"/>
      </w:pPr>
      <w:r>
        <w:rPr>
          <w:rFonts w:ascii="Georgia" w:cs="Georgia" w:eastAsia="Georgia" w:hAnsi="Georgia"/>
          <w:b/>
          <w:bCs/>
          <w:color w:val="0A5F6A"/>
          <w:sz w:val="18"/>
          <w:szCs w:val="18"/>
        </w:rPr>
        <w:t xml:space="preserve"/>
      </w:r>
      <w:r>
        <w:rPr>
          <w:rFonts w:ascii="Georgia" w:cs="Georgia" w:eastAsia="Georgia" w:hAnsi="Georgia"/>
          <w:color w:val="333344"/>
          <w:sz w:val="18"/>
          <w:szCs w:val="18"/>
        </w:rPr>
        <w:t xml:space="preserve">Figure 5. Kohn-Sham orbital energies  -  cation series CAM-B3LYP/6-31G*. Left: HOMO and LUMO levels vs chain length, with HOMO-LUMO gap annotated. Right: LUMO energies zoomed (Cy7⁺–Cy11⁺ σ = 0.013 eV) vs HOMO-LUMO gap (Cy3⁺–Cy11⁺). The HOMO rises by 2.225 eV while the LUMO moves by only 0.079 eV.</w:t>
      </w:r>
    </w:p>
    <w:p>
      <w:pPr>
        <w:pStyle w:val="Heading2"/>
        <w:spacing w:before="180" w:after="80"/>
      </w:pPr>
      <w:r>
        <w:rPr>
          <w:rFonts w:ascii="Georgia" w:cs="Georgia" w:eastAsia="Georgia" w:hAnsi="Georgia"/>
          <w:b/>
          <w:bCs/>
          <w:color w:val="0A5F6A"/>
          <w:sz w:val="26"/>
          <w:szCs w:val="26"/>
        </w:rPr>
        <w:t xml:space="preserve">7.1 Orbital Energy Table</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000"/>
        <w:gridCol w:w="1000"/>
        <w:gridCol w:w="1000"/>
        <w:gridCol w:w="1000"/>
        <w:gridCol w:w="900"/>
      </w:tblGrid>
      <w:tr>
        <w:trPr>
          <w:tblHeader/>
        </w:trPr>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Molecule</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HOMO (eV)</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HOMO-1 (eV)</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HOMO-2 (eV)</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LUMO (eV)</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LUMO+1 (eV)</w:t>
            </w:r>
          </w:p>
        </w:tc>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Gap (eV)</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Cy7⁺</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-7.734</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-9.482</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-10.299</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-4.184</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-2.709</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3.550</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Cy9⁺</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-7.462</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-9.034</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-10.053</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-4.183</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-2.772</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3.280</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Cy11⁰*</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-3.906</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-4.788</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-5.694</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-1.243</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-0.438</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2.663*</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Cy11⁺</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-7.250</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-8.651</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-9.786</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-4.156</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-2.833</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3.094</w:t>
            </w:r>
          </w:p>
        </w:tc>
      </w:tr>
      <w:tr>
        <w:tc>
          <w:tcPr>
            <w:tcW w:type="dxa" w:w="900"/>
            <w:tcBorders>
              <w:top w:val="single" w:color="9B59B6" w:sz="4"/>
              <w:left w:val="single" w:color="9B59B6" w:sz="6"/>
              <w:bottom w:val="single" w:color="9B59B6" w:sz="4"/>
              <w:right w:val="single" w:color="BBBBBB" w:sz="1"/>
            </w:tcBorders>
            <w:shd w:fill="F4EEFF" w:val="clear"/>
            <w:tcMar>
              <w:top w:type="dxa" w:w="55"/>
              <w:left w:type="dxa" w:w="90"/>
              <w:bottom w:type="dxa" w:w="55"/>
              <w:right w:type="dxa" w:w="90"/>
            </w:tcMar>
          </w:tcPr>
          <w:p>
            <w:pPr>
              <w:spacing w:before="45" w:after="45"/>
            </w:pPr>
            <w:r>
              <w:rPr>
                <w:rFonts w:ascii="Georgia" w:cs="Georgia" w:hAnsi="Georgia"/>
                <w:b/>
                <w:color w:val="7B2FBE"/>
                <w:sz w:val="17"/>
              </w:rPr>
              <w:t xml:space="preserve">Cy13⁺ ★</w:t>
            </w:r>
          </w:p>
        </w:tc>
        <w:tc>
          <w:tcPr>
            <w:tcW w:type="dxa" w:w="900"/>
            <w:tcBorders>
              <w:top w:val="single" w:color="9B59B6" w:sz="4"/>
              <w:left w:val="single" w:color="BBBBBB" w:sz="1"/>
              <w:bottom w:val="single" w:color="9B59B6" w:sz="4"/>
              <w:right w:val="single" w:color="BBBBBB" w:sz="1"/>
            </w:tcBorders>
            <w:shd w:fill="F4EEFF" w:val="clear"/>
            <w:tcMar>
              <w:top w:type="dxa" w:w="55"/>
              <w:left w:type="dxa" w:w="90"/>
              <w:bottom w:type="dxa" w:w="55"/>
              <w:right w:type="dxa" w:w="90"/>
            </w:tcMar>
          </w:tcPr>
          <w:p>
            <w:pPr>
              <w:spacing w:before="45" w:after="45"/>
              <w:jc w:val="right"/>
            </w:pPr>
            <w:r>
              <w:rPr>
                <w:rFonts w:ascii="Courier New" w:cs="Courier New" w:hAnsi="Courier New"/>
                <w:color w:val="7B2FBE"/>
                <w:sz w:val="17"/>
              </w:rPr>
              <w:t>-7.052</w:t>
            </w:r>
          </w:p>
        </w:tc>
        <w:tc>
          <w:tcPr>
            <w:tcW w:type="dxa" w:w="900"/>
            <w:tcBorders>
              <w:top w:val="single" w:color="9B59B6" w:sz="4"/>
              <w:left w:val="single" w:color="BBBBBB" w:sz="1"/>
              <w:bottom w:val="single" w:color="9B59B6" w:sz="4"/>
              <w:right w:val="single" w:color="BBBBBB" w:sz="1"/>
            </w:tcBorders>
            <w:shd w:fill="F4EEFF" w:val="clear"/>
            <w:tcMar>
              <w:top w:type="dxa" w:w="55"/>
              <w:left w:type="dxa" w:w="90"/>
              <w:bottom w:type="dxa" w:w="55"/>
              <w:right w:type="dxa" w:w="90"/>
            </w:tcMar>
          </w:tcPr>
          <w:p>
            <w:pPr>
              <w:spacing w:before="45" w:after="45"/>
              <w:jc w:val="right"/>
            </w:pPr>
            <w:r>
              <w:rPr>
                <w:rFonts w:ascii="Courier New" w:cs="Courier New" w:hAnsi="Courier New"/>
                <w:color w:val="7B2FBE"/>
                <w:sz w:val="17"/>
              </w:rPr>
              <w:t>-8.585</w:t>
            </w:r>
          </w:p>
        </w:tc>
        <w:tc>
          <w:tcPr>
            <w:tcW w:type="dxa" w:w="900"/>
            <w:tcBorders>
              <w:top w:val="single" w:color="9B59B6" w:sz="4"/>
              <w:left w:val="single" w:color="BBBBBB" w:sz="1"/>
              <w:bottom w:val="single" w:color="9B59B6" w:sz="4"/>
              <w:right w:val="single" w:color="BBBBBB" w:sz="1"/>
            </w:tcBorders>
            <w:shd w:fill="F4EEFF" w:val="clear"/>
            <w:tcMar>
              <w:top w:type="dxa" w:w="55"/>
              <w:left w:type="dxa" w:w="90"/>
              <w:bottom w:type="dxa" w:w="55"/>
              <w:right w:type="dxa" w:w="90"/>
            </w:tcMar>
          </w:tcPr>
          <w:p>
            <w:pPr>
              <w:spacing w:before="45" w:after="45"/>
              <w:jc w:val="right"/>
            </w:pPr>
            <w:r>
              <w:rPr>
                <w:rFonts w:ascii="Courier New" w:cs="Courier New" w:hAnsi="Courier New"/>
                <w:color w:val="7B2FBE"/>
                <w:sz w:val="17"/>
              </w:rPr>
              <w:t>-8.758</w:t>
            </w:r>
          </w:p>
        </w:tc>
        <w:tc>
          <w:tcPr>
            <w:tcW w:type="dxa" w:w="900"/>
            <w:tcBorders>
              <w:top w:val="single" w:color="9B59B6" w:sz="4"/>
              <w:left w:val="single" w:color="BBBBBB" w:sz="1"/>
              <w:bottom w:val="single" w:color="9B59B6" w:sz="4"/>
              <w:right w:val="single" w:color="BBBBBB" w:sz="1"/>
            </w:tcBorders>
            <w:shd w:fill="F4EEFF" w:val="clear"/>
            <w:tcMar>
              <w:top w:type="dxa" w:w="55"/>
              <w:left w:type="dxa" w:w="90"/>
              <w:bottom w:type="dxa" w:w="55"/>
              <w:right w:type="dxa" w:w="90"/>
            </w:tcMar>
          </w:tcPr>
          <w:p>
            <w:pPr>
              <w:spacing w:before="45" w:after="45"/>
              <w:jc w:val="right"/>
            </w:pPr>
            <w:r>
              <w:rPr>
                <w:rFonts w:ascii="Courier New" w:cs="Courier New" w:hAnsi="Courier New"/>
                <w:color w:val="7B2FBE"/>
                <w:sz w:val="17"/>
              </w:rPr>
              <w:t>-4.331</w:t>
            </w:r>
          </w:p>
        </w:tc>
        <w:tc>
          <w:tcPr>
            <w:tcW w:type="dxa" w:w="900"/>
            <w:tcBorders>
              <w:top w:val="single" w:color="9B59B6" w:sz="4"/>
              <w:left w:val="single" w:color="BBBBBB" w:sz="1"/>
              <w:bottom w:val="single" w:color="9B59B6" w:sz="4"/>
              <w:right w:val="single" w:color="BBBBBB" w:sz="1"/>
            </w:tcBorders>
            <w:shd w:fill="F4EEFF" w:val="clear"/>
            <w:tcMar>
              <w:top w:type="dxa" w:w="55"/>
              <w:left w:type="dxa" w:w="90"/>
              <w:bottom w:type="dxa" w:w="55"/>
              <w:right w:type="dxa" w:w="90"/>
            </w:tcMar>
          </w:tcPr>
          <w:p>
            <w:pPr>
              <w:spacing w:before="45" w:after="45"/>
              <w:jc w:val="right"/>
            </w:pPr>
            <w:r>
              <w:rPr>
                <w:rFonts w:ascii="Courier New" w:cs="Courier New" w:hAnsi="Courier New"/>
                <w:color w:val="7B2FBE"/>
                <w:sz w:val="17"/>
              </w:rPr>
              <w:t>-3.401</w:t>
            </w:r>
          </w:p>
        </w:tc>
        <w:tc>
          <w:tcPr>
            <w:tcW w:type="dxa" w:w="900"/>
            <w:tcBorders>
              <w:top w:val="single" w:color="9B59B6" w:sz="4"/>
              <w:left w:val="single" w:color="BBBBBB" w:sz="1"/>
              <w:bottom w:val="single" w:color="9B59B6" w:sz="4"/>
              <w:right w:val="single" w:color="9B59B6" w:sz="6"/>
            </w:tcBorders>
            <w:shd w:fill="F4EEFF" w:val="clear"/>
            <w:tcMar>
              <w:top w:type="dxa" w:w="55"/>
              <w:left w:type="dxa" w:w="90"/>
              <w:bottom w:type="dxa" w:w="55"/>
              <w:right w:type="dxa" w:w="90"/>
            </w:tcMar>
          </w:tcPr>
          <w:p>
            <w:pPr>
              <w:spacing w:before="45" w:after="45"/>
              <w:jc w:val="right"/>
            </w:pPr>
            <w:r>
              <w:rPr>
                <w:rFonts w:ascii="Courier New" w:cs="Courier New" w:hAnsi="Courier New"/>
                <w:b/>
                <w:color w:val="7B2FBE"/>
                <w:sz w:val="17"/>
              </w:rPr>
              <w:t>2.721★</w:t>
            </w:r>
          </w:p>
        </w:tc>
      </w:tr>
    </w:tbl>
    <w:p>
      <w:pPr>
        <w:pBdr>
          <w:left w:val="single" w:color="B8860B" w:sz="10" w:space="6"/>
        </w:pBdr>
        <w:spacing w:before="80" w:after="80"/>
        <w:ind w:left="720" w:right="360"/>
      </w:pPr>
      <w:r>
        <w:rPr>
          <w:rFonts w:ascii="Georgia" w:cs="Georgia" w:eastAsia="Georgia" w:hAnsi="Georgia"/>
          <w:b w:val="false"/>
          <w:bCs w:val="false"/>
          <w:i/>
          <w:iCs/>
          <w:color w:val="555566"/>
          <w:sz w:val="19"/>
          <w:szCs w:val="19"/>
        </w:rPr>
        <w:t xml:space="preserve">*Cy11⁰ values are for α-spin orbitals (UKS); the "HOMO" is the singly occupied MO (SOMO). The UKS gap (2.663 eV) is not directly comparable to the closed-shell cation gaps  -  it represents the α-SOMO to α-LUMO splitting.</w:t>
      </w:r>
    </w:p>
    <w:p>
      <w:pPr>
        <w:spacing w:before="60" w:after="60"/>
        <w:jc w:val="both"/>
      </w:pPr>
      <w:r>
        <w:rPr>
          <w:rFonts w:ascii="Georgia" w:cs="Georgia" w:eastAsia="Georgia" w:hAnsi="Georgia"/>
          <w:b w:val="false"/>
          <w:bCs w:val="false"/>
          <w:i w:val="false"/>
          <w:iCs w:val="false"/>
          <w:color w:val="111122"/>
          <w:sz w:val="21"/>
          <w:szCs w:val="21"/>
        </w:rPr>
        <w:t xml:space="preserve"/>
      </w:r>
    </w:p>
    <w:p>
      <w:pPr>
        <w:pStyle w:val="Heading2"/>
        <w:spacing w:before="180" w:after="80"/>
      </w:pPr>
      <w:r>
        <w:rPr>
          <w:rFonts w:ascii="Georgia" w:cs="Georgia" w:eastAsia="Georgia" w:hAnsi="Georgia"/>
          <w:b/>
          <w:bCs/>
          <w:color w:val="0A5F6A"/>
          <w:sz w:val="26"/>
          <w:szCs w:val="26"/>
        </w:rPr>
        <w:t xml:space="preserve">7.2 LUMO Pinning  -  Quantitative Analysis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100"/>
        <w:gridCol w:w="1400"/>
        <w:gridCol w:w="1700"/>
      </w:tblGrid>
      <w:tr>
        <w:trPr>
          <w:tblHeader/>
        </w:trPr>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Molecule</w:t>
            </w:r>
          </w:p>
        </w:tc>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LUMO (eV)</w:t>
            </w:r>
          </w:p>
        </w:tc>
        <w:tc>
          <w:tcPr>
            <w:tcW w:type="dxa" w:w="11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Δ from Cy7⁺ (eV)</w:t>
            </w:r>
          </w:p>
        </w:tc>
        <w:tc>
          <w:tcPr>
            <w:tcW w:type="dxa" w:w="14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σ (Cy7⁺–Cx) (eV)</w:t>
            </w:r>
          </w:p>
        </w:tc>
        <w:tc>
          <w:tcPr>
            <w:tcW w:type="dxa" w:w="17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Interpretation</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Cy3⁺</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-4.235</w:t>
            </w:r>
          </w:p>
        </w:tc>
        <w:tc>
          <w:tcPr>
            <w:tcW w:type="dxa" w:w="11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-0.051</w:t>
            </w:r>
          </w:p>
        </w:tc>
        <w:tc>
          <w:tcPr>
            <w:tcW w:type="dxa" w:w="14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 </w:t>
            </w:r>
          </w:p>
        </w:tc>
        <w:tc>
          <w:tcPr>
            <w:tcW w:type="dxa" w:w="1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Short chain</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Cy5⁺</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-4.242</w:t>
            </w:r>
          </w:p>
        </w:tc>
        <w:tc>
          <w:tcPr>
            <w:tcW w:type="dxa" w:w="11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-0.058</w:t>
            </w:r>
          </w:p>
        </w:tc>
        <w:tc>
          <w:tcPr>
            <w:tcW w:type="dxa" w:w="14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 </w:t>
            </w:r>
          </w:p>
        </w:tc>
        <w:tc>
          <w:tcPr>
            <w:tcW w:type="dxa" w:w="1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Pinning begins</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Cy7⁺</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-4.184</w:t>
            </w:r>
          </w:p>
        </w:tc>
        <w:tc>
          <w:tcPr>
            <w:tcW w:type="dxa" w:w="11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0.000 (ref)</w:t>
            </w:r>
          </w:p>
        </w:tc>
        <w:tc>
          <w:tcPr>
            <w:tcW w:type="dxa" w:w="14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0.000</w:t>
            </w:r>
          </w:p>
        </w:tc>
        <w:tc>
          <w:tcPr>
            <w:tcW w:type="dxa" w:w="1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LUMO pinned</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Cy9⁺</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-4.183</w:t>
            </w:r>
          </w:p>
        </w:tc>
        <w:tc>
          <w:tcPr>
            <w:tcW w:type="dxa" w:w="11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+0.001</w:t>
            </w:r>
          </w:p>
        </w:tc>
        <w:tc>
          <w:tcPr>
            <w:tcW w:type="dxa" w:w="14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0.001</w:t>
            </w:r>
          </w:p>
        </w:tc>
        <w:tc>
          <w:tcPr>
            <w:tcW w:type="dxa" w:w="17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LUMO pinned</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Cy11⁺</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-4.156</w:t>
            </w:r>
          </w:p>
        </w:tc>
        <w:tc>
          <w:tcPr>
            <w:tcW w:type="dxa" w:w="11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+0.028</w:t>
            </w:r>
          </w:p>
        </w:tc>
        <w:tc>
          <w:tcPr>
            <w:tcW w:type="dxa" w:w="14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0.013</w:t>
            </w:r>
          </w:p>
        </w:tc>
        <w:tc>
          <w:tcPr>
            <w:tcW w:type="dxa" w:w="17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LUMO pinned</w:t>
            </w:r>
          </w:p>
        </w:tc>
      </w:tr>
      <w:tr>
        <w:tc>
          <w:tcPr>
            <w:tcW w:type="dxa" w:w="900"/>
            <w:tcBorders>
              <w:top w:val="single" w:color="9B59B6" w:sz="4"/>
              <w:left w:val="single" w:color="9B59B6" w:sz="6"/>
              <w:bottom w:val="single" w:color="9B59B6" w:sz="4"/>
              <w:right w:val="single" w:color="BBBBBB" w:sz="1"/>
            </w:tcBorders>
            <w:shd w:fill="F4EEFF" w:val="clear"/>
            <w:tcMar>
              <w:top w:type="dxa" w:w="55"/>
              <w:left w:type="dxa" w:w="90"/>
              <w:bottom w:type="dxa" w:w="55"/>
              <w:right w:type="dxa" w:w="90"/>
            </w:tcMar>
          </w:tcPr>
          <w:p>
            <w:pPr>
              <w:spacing w:before="45" w:after="45"/>
            </w:pPr>
            <w:r>
              <w:rPr>
                <w:rFonts w:ascii="Georgia" w:cs="Georgia" w:hAnsi="Georgia"/>
                <w:b/>
                <w:color w:val="7B2FBE"/>
                <w:sz w:val="17"/>
              </w:rPr>
              <w:t xml:space="preserve">Cy13⁺ ★</w:t>
            </w:r>
          </w:p>
        </w:tc>
        <w:tc>
          <w:tcPr>
            <w:tcW w:type="dxa" w:w="900"/>
            <w:tcBorders>
              <w:top w:val="single" w:color="9B59B6" w:sz="4"/>
              <w:left w:val="single" w:color="BBBBBB" w:sz="1"/>
              <w:bottom w:val="single" w:color="9B59B6" w:sz="4"/>
              <w:right w:val="single" w:color="BBBBBB" w:sz="1"/>
            </w:tcBorders>
            <w:shd w:fill="F4EEFF" w:val="clear"/>
            <w:tcMar>
              <w:top w:type="dxa" w:w="55"/>
              <w:left w:type="dxa" w:w="90"/>
              <w:bottom w:type="dxa" w:w="55"/>
              <w:right w:type="dxa" w:w="90"/>
            </w:tcMar>
          </w:tcPr>
          <w:p>
            <w:pPr>
              <w:spacing w:before="45" w:after="45"/>
              <w:jc w:val="right"/>
            </w:pPr>
            <w:r>
              <w:rPr>
                <w:rFonts w:ascii="Courier New" w:cs="Courier New" w:hAnsi="Courier New"/>
                <w:color w:val="7B2FBE"/>
                <w:sz w:val="17"/>
              </w:rPr>
              <w:t>-4.331</w:t>
            </w:r>
          </w:p>
        </w:tc>
        <w:tc>
          <w:tcPr>
            <w:tcW w:type="dxa" w:w="1100"/>
            <w:tcBorders>
              <w:top w:val="single" w:color="9B59B6" w:sz="4"/>
              <w:left w:val="single" w:color="BBBBBB" w:sz="1"/>
              <w:bottom w:val="single" w:color="9B59B6" w:sz="4"/>
              <w:right w:val="single" w:color="BBBBBB" w:sz="1"/>
            </w:tcBorders>
            <w:shd w:fill="F4EEFF" w:val="clear"/>
            <w:tcMar>
              <w:top w:type="dxa" w:w="55"/>
              <w:left w:type="dxa" w:w="90"/>
              <w:bottom w:type="dxa" w:w="55"/>
              <w:right w:type="dxa" w:w="90"/>
            </w:tcMar>
          </w:tcPr>
          <w:p>
            <w:pPr>
              <w:spacing w:before="45" w:after="45"/>
              <w:jc w:val="right"/>
            </w:pPr>
            <w:r>
              <w:rPr>
                <w:rFonts w:ascii="Courier New" w:cs="Courier New" w:hAnsi="Courier New"/>
                <w:color w:val="7B2FBE"/>
                <w:sz w:val="17"/>
              </w:rPr>
              <w:t>−0.147</w:t>
            </w:r>
          </w:p>
        </w:tc>
        <w:tc>
          <w:tcPr>
            <w:tcW w:type="dxa" w:w="1400"/>
            <w:tcBorders>
              <w:top w:val="single" w:color="9B59B6" w:sz="4"/>
              <w:left w:val="single" w:color="BBBBBB" w:sz="1"/>
              <w:bottom w:val="single" w:color="9B59B6" w:sz="4"/>
              <w:right w:val="single" w:color="BBBBBB" w:sz="1"/>
            </w:tcBorders>
            <w:shd w:fill="F4EEFF" w:val="clear"/>
            <w:tcMar>
              <w:top w:type="dxa" w:w="55"/>
              <w:left w:type="dxa" w:w="90"/>
              <w:bottom w:type="dxa" w:w="55"/>
              <w:right w:type="dxa" w:w="90"/>
            </w:tcMar>
          </w:tcPr>
          <w:p>
            <w:pPr>
              <w:spacing w:before="45" w:after="45"/>
              <w:jc w:val="right"/>
            </w:pPr>
            <w:r>
              <w:rPr>
                <w:rFonts w:ascii="Courier New" w:cs="Courier New" w:hAnsi="Courier New"/>
                <w:color w:val="7B2FBE"/>
                <w:sz w:val="17"/>
              </w:rPr>
              <w:t>0.013</w:t>
            </w:r>
          </w:p>
        </w:tc>
        <w:tc>
          <w:tcPr>
            <w:tcW w:type="dxa" w:w="1700"/>
            <w:tcBorders>
              <w:top w:val="single" w:color="9B59B6" w:sz="4"/>
              <w:left w:val="single" w:color="BBBBBB" w:sz="1"/>
              <w:bottom w:val="single" w:color="9B59B6" w:sz="4"/>
              <w:right w:val="single" w:color="9B59B6" w:sz="6"/>
            </w:tcBorders>
            <w:shd w:fill="F4EEFF" w:val="clear"/>
            <w:tcMar>
              <w:top w:type="dxa" w:w="55"/>
              <w:left w:type="dxa" w:w="90"/>
              <w:bottom w:type="dxa" w:w="55"/>
              <w:right w:type="dxa" w:w="90"/>
            </w:tcMar>
          </w:tcPr>
          <w:p>
            <w:pPr>
              <w:spacing w:before="45" w:after="45"/>
            </w:pPr>
            <w:r>
              <w:rPr>
                <w:rFonts w:ascii="Georgia" w:cs="Georgia" w:hAnsi="Georgia"/>
                <w:b/>
                <w:color w:val="7B2FBE"/>
                <w:sz w:val="17"/>
              </w:rPr>
              <w:t xml:space="preserve">LUMO unpinned ★</w:t>
            </w:r>
          </w:p>
        </w:tc>
      </w:tr>
    </w:tbl>
    <w:p>
      <w:pPr>
        <w:spacing w:before="80" w:after="80"/>
        <w:jc w:val="both"/>
      </w:pPr>
      <w:r>
        <w:rPr>
          <w:rFonts w:ascii="Georgia" w:cs="Georgia" w:hAnsi="Georgia"/>
          <w:color w:val="111122"/>
          <w:sz w:val="21"/>
        </w:rPr>
        <w:t xml:space="preserve">The LUMO wavefunction has a node at the meso position of the polymethine chain, so adding vinyl units at the ends does not change its energy across Cy7⁺–Cy11⁺ (ΔLUMO = 0.028 eV, σ = 0.013 eV). The chain-length red-shift (Cy7: ~750 nm → Cy11: ~1000 nm) arises entirely because the HOMO rises toward the pinned LUMO. At Cy13⁺, the LUMO moves by −0.175 eV relative to Cy11⁺, signalling that the meso-node symmetry argument breaks down at this chain length. This is consistent with the dark S₁ (CT character) and the structural bifurcation observed in the geometry trajectory.</w:t>
      </w:r>
    </w:p>
    <w:p>
      <w:pPr>
        <w:spacing w:before="60" w:after="60"/>
        <w:jc w:val="both"/>
      </w:pPr>
      <w:r>
        <w:rPr>
          <w:rFonts w:ascii="Georgia" w:cs="Georgia" w:eastAsia="Georgia" w:hAnsi="Georgia"/>
          <w:b w:val="false"/>
          <w:bCs w:val="false"/>
          <w:i w:val="false"/>
          <w:iCs w:val="false"/>
          <w:color w:val="111122"/>
          <w:sz w:val="21"/>
          <w:szCs w:val="21"/>
        </w:rPr>
        <w:t xml:space="preserve"/>
      </w:r>
    </w:p>
    <w:p>
      <w:pPr>
        <w:pBdr>
          <w:bottom w:val="single" w:color="DDDDDD" w:sz="2" w:space="4"/>
        </w:pBdr>
        <w:spacing w:before="40" w:after="40"/>
      </w:pPr>
      <w:r>
        <w:rPr>
          <w:rFonts w:ascii="Georgia" w:cs="Georgia" w:eastAsia="Georgia" w:hAnsi="Georgia"/>
          <w:b w:val="false"/>
          <w:bCs w:val="false"/>
          <w:i w:val="false"/>
          <w:iCs w:val="false"/>
          <w:color w:val="111122"/>
          <w:sz w:val="21"/>
          <w:szCs w:val="21"/>
        </w:rPr>
        <w:t xml:space="preserve"/>
      </w:r>
    </w:p>
    <w:p>
      <w:pPr>
        <w:pStyle w:val="Heading1"/>
        <w:pBdr>
          <w:bottom w:val="single" w:color="B8860B" w:sz="6" w:space="4"/>
        </w:pBdr>
        <w:spacing w:before="280" w:after="100"/>
      </w:pPr>
      <w:r>
        <w:rPr>
          <w:rFonts w:ascii="Georgia" w:cs="Georgia" w:eastAsia="Georgia" w:hAnsi="Georgia"/>
          <w:b/>
          <w:bCs/>
          <w:caps/>
          <w:color w:val="0D1828"/>
          <w:sz w:val="34"/>
          <w:szCs w:val="34"/>
        </w:rPr>
        <w:t xml:space="preserve">8. C–N Bond Lengths, Charge Effect, and Dipole Moments</w:t>
      </w:r>
    </w:p>
    <w:p>
      <w:pPr>
        <w:spacing w:before="100" w:after="60"/>
        <w:jc w:val="center"/>
      </w:pPr>
      <w:r>
        <w:drawing>
          <wp:inline distT="0" distB="0" distL="0" distR="0">
            <wp:extent cx="56612790000" cy="24387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12790000" cy="24387048000"/>
                    </a:xfrm>
                    <a:prstGeom prst="rect">
                      <a:avLst/>
                    </a:prstGeom>
                  </pic:spPr>
                </pic:pic>
              </a:graphicData>
            </a:graphic>
          </wp:inline>
        </w:drawing>
      </w:r>
    </w:p>
    <w:p>
      <w:pPr>
        <w:spacing w:before="60" w:after="120"/>
        <w:jc w:val="center"/>
      </w:pPr>
      <w:r>
        <w:rPr>
          <w:rFonts w:ascii="Georgia" w:cs="Georgia" w:eastAsia="Georgia" w:hAnsi="Georgia"/>
          <w:b/>
          <w:bCs/>
          <w:color w:val="0A5F6A"/>
          <w:sz w:val="18"/>
          <w:szCs w:val="18"/>
        </w:rPr>
        <w:t xml:space="preserve"/>
      </w:r>
      <w:r>
        <w:rPr>
          <w:rFonts w:ascii="Georgia" w:cs="Georgia" w:eastAsia="Georgia" w:hAnsi="Georgia"/>
          <w:color w:val="333344"/>
          <w:sz w:val="18"/>
          <w:szCs w:val="18"/>
        </w:rPr>
        <w:t xml:space="preserve">Figure 7. C–N bonds, Cy11 charge effect, and dipole moments. Left: C–N bond lengths by type across all four molecules  -  note the +0.029 Å elongation of iminium C=N in neutral vs cation. Centre: ΔBLA = −0.00373 Å upon oxidation of Cy11. Right: molecular dipole moments; neutral has smaller μ (3.40 D vs 4.41–4.85 D for cations).</w:t>
      </w:r>
    </w:p>
    <w:p>
      <w:pPr>
        <w:pStyle w:val="Heading2"/>
        <w:spacing w:before="180" w:after="80"/>
      </w:pPr>
      <w:r>
        <w:rPr>
          <w:rFonts w:ascii="Georgia" w:cs="Georgia" w:eastAsia="Georgia" w:hAnsi="Georgia"/>
          <w:b/>
          <w:bCs/>
          <w:color w:val="0A5F6A"/>
          <w:sz w:val="26"/>
          <w:szCs w:val="26"/>
        </w:rPr>
        <w:t xml:space="preserve">8.1 C–N Bond Lengths</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000"/>
        <w:gridCol w:w="1000"/>
        <w:gridCol w:w="1000"/>
        <w:gridCol w:w="1000"/>
        <w:gridCol w:w="1000"/>
      </w:tblGrid>
      <w:tr>
        <w:trPr>
          <w:tblHeader/>
        </w:trPr>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Molecule</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d₁ C=N (Å)</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d₂ C=N (Å)</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d₃ C–N (Å)</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d₄ C–N (Å)</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d₅ sp³ (Å)</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d₆ sp³ (Å)</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Cy7⁺</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1.35214</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1.35231</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1.39027</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1.39086</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1.47098</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1.47117</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Cy9⁺</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1.35229</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1.35649</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1.39075</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1.39142</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1.46914</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1.47142</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Cy11⁰</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1.38116</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1.38127</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1.40230</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1.40235</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1.46481</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1.46488</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Cy11⁺</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1.35410</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1.35487</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1.39079</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1.39144</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1.46969</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1.47009</w:t>
            </w:r>
          </w:p>
        </w:tc>
      </w:tr>
    </w:tbl>
    <w:p>
      <w:pPr>
        <w:pBdr>
          <w:left w:val="single" w:color="B8860B" w:sz="10" w:space="6"/>
        </w:pBdr>
        <w:spacing w:before="80" w:after="80"/>
        <w:ind w:left="720" w:right="360"/>
      </w:pPr>
      <w:r>
        <w:rPr>
          <w:rFonts w:ascii="Georgia" w:cs="Georgia" w:eastAsia="Georgia" w:hAnsi="Georgia"/>
          <w:b w:val="false"/>
          <w:bCs w:val="false"/>
          <w:i/>
          <w:iCs/>
          <w:color w:val="555566"/>
          <w:sz w:val="19"/>
          <w:szCs w:val="19"/>
        </w:rPr>
        <w:t xml:space="preserve">The C=N iminium bonds in cations (≈1.352 Å) agree with CAM-B3LYP values reported for indolenine-terminated cyanines (Jacquemin 2008). For Cy11⁰, these bonds lengthen to ≈1.381 Å  -  an increase of 0.029 Å  -  reflecting reduced lone-pair donation from nitrogen in the neutral doublet state.</w:t>
      </w:r>
    </w:p>
    <w:p>
      <w:pPr>
        <w:spacing w:before="60" w:after="60"/>
        <w:jc w:val="both"/>
      </w:pPr>
      <w:r>
        <w:rPr>
          <w:rFonts w:ascii="Georgia" w:cs="Georgia" w:eastAsia="Georgia" w:hAnsi="Georgia"/>
          <w:b w:val="false"/>
          <w:bCs w:val="false"/>
          <w:i w:val="false"/>
          <w:iCs w:val="false"/>
          <w:color w:val="111122"/>
          <w:sz w:val="21"/>
          <w:szCs w:val="21"/>
        </w:rPr>
        <w:t xml:space="preserve"/>
      </w:r>
    </w:p>
    <w:p>
      <w:pPr>
        <w:pStyle w:val="Heading2"/>
        <w:spacing w:before="180" w:after="80"/>
      </w:pPr>
      <w:r>
        <w:rPr>
          <w:rFonts w:ascii="Georgia" w:cs="Georgia" w:eastAsia="Georgia" w:hAnsi="Georgia"/>
          <w:b/>
          <w:bCs/>
          <w:color w:val="0A5F6A"/>
          <w:sz w:val="26"/>
          <w:szCs w:val="26"/>
        </w:rPr>
        <w:t xml:space="preserve">8.2 Dipole Moments</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000"/>
        <w:gridCol w:w="1000"/>
        <w:gridCol w:w="1200"/>
        <w:gridCol w:w="1200"/>
      </w:tblGrid>
      <w:tr>
        <w:trPr>
          <w:tblHeader/>
        </w:trPr>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Molecule</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μₓ (a.u.)</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μᵧ (a.u.)</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μᵤ (a.u.)</w:t>
            </w:r>
          </w:p>
        </w:tc>
        <w:tc>
          <w:tcPr>
            <w:tcW w:type="dxa" w:w="12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|μ| (a.u.)</w:t>
            </w:r>
          </w:p>
        </w:tc>
        <w:tc>
          <w:tcPr>
            <w:tcW w:type="dxa" w:w="12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|μ| (Debye)</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Cy7⁺</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+0.1855</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-1.2826</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-1.1553</w:t>
            </w:r>
          </w:p>
        </w:tc>
        <w:tc>
          <w:tcPr>
            <w:tcW w:type="dxa" w:w="12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1.7362</w:t>
            </w:r>
          </w:p>
        </w:tc>
        <w:tc>
          <w:tcPr>
            <w:tcW w:type="dxa" w:w="12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4.413</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Cy9⁺</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+0.9869</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-1.4445</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+0.5331</w:t>
            </w:r>
          </w:p>
        </w:tc>
        <w:tc>
          <w:tcPr>
            <w:tcW w:type="dxa" w:w="12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1.8288</w:t>
            </w:r>
          </w:p>
        </w:tc>
        <w:tc>
          <w:tcPr>
            <w:tcW w:type="dxa" w:w="12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4.649</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Cy11⁰</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-0.0269</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-0.3345</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+1.2948</w:t>
            </w:r>
          </w:p>
        </w:tc>
        <w:tc>
          <w:tcPr>
            <w:tcW w:type="dxa" w:w="12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1.3376</w:t>
            </w:r>
          </w:p>
        </w:tc>
        <w:tc>
          <w:tcPr>
            <w:tcW w:type="dxa" w:w="12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3.400</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Cy11⁺</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-0.8964</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+0.1152</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+1.6826</w:t>
            </w:r>
          </w:p>
        </w:tc>
        <w:tc>
          <w:tcPr>
            <w:tcW w:type="dxa" w:w="12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1.9099</w:t>
            </w:r>
          </w:p>
        </w:tc>
        <w:tc>
          <w:tcPr>
            <w:tcW w:type="dxa" w:w="12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4.855</w:t>
            </w:r>
          </w:p>
        </w:tc>
      </w:tr>
    </w:tbl>
    <w:p>
      <w:pPr>
        <w:spacing w:before="60" w:after="60"/>
        <w:jc w:val="both"/>
      </w:pPr>
      <w:r>
        <w:rPr>
          <w:rFonts w:ascii="Georgia" w:cs="Georgia" w:eastAsia="Georgia" w:hAnsi="Georgia"/>
          <w:b w:val="false"/>
          <w:bCs w:val="false"/>
          <w:i w:val="false"/>
          <w:iCs w:val="false"/>
          <w:color w:val="111122"/>
          <w:sz w:val="21"/>
          <w:szCs w:val="21"/>
        </w:rPr>
        <w:t xml:space="preserve"/>
      </w:r>
    </w:p>
    <w:p>
      <w:pPr>
        <w:pBdr>
          <w:bottom w:val="single" w:color="DDDDDD" w:sz="2" w:space="4"/>
        </w:pBdr>
        <w:spacing w:before="40" w:after="40"/>
      </w:pPr>
      <w:r>
        <w:rPr>
          <w:rFonts w:ascii="Georgia" w:cs="Georgia" w:eastAsia="Georgia" w:hAnsi="Georgia"/>
          <w:b w:val="false"/>
          <w:bCs w:val="false"/>
          <w:i w:val="false"/>
          <w:iCs w:val="false"/>
          <w:color w:val="111122"/>
          <w:sz w:val="21"/>
          <w:szCs w:val="21"/>
        </w:rPr>
        <w:t xml:space="preserve"/>
      </w:r>
    </w:p>
    <w:p>
      <w:pPr>
        <w:pStyle w:val="Heading1"/>
        <w:pBdr>
          <w:bottom w:val="single" w:color="B8860B" w:sz="6" w:space="4"/>
        </w:pBdr>
        <w:spacing w:before="280" w:after="100"/>
      </w:pPr>
      <w:r>
        <w:rPr>
          <w:rFonts w:ascii="Georgia" w:cs="Georgia" w:eastAsia="Georgia" w:hAnsi="Georgia"/>
          <w:b/>
          <w:bCs/>
          <w:caps/>
          <w:color w:val="0D1828"/>
          <w:sz w:val="34"/>
          <w:szCs w:val="34"/>
        </w:rPr>
        <w:t xml:space="preserve">9. Frequency Confirmation  -  True Local Minima</w:t>
      </w:r>
    </w:p>
    <w:p>
      <w:pPr>
        <w:spacing w:before="80" w:after="80"/>
        <w:jc w:val="both"/>
      </w:pPr>
      <w:r>
        <w:rPr>
          <w:rFonts w:ascii="Georgia" w:cs="Georgia" w:eastAsia="Georgia" w:hAnsi="Georgia"/>
          <w:b w:val="false"/>
          <w:bCs w:val="false"/>
          <w:i w:val="false"/>
          <w:iCs w:val="false"/>
          <w:color w:val="111122"/>
          <w:sz w:val="21"/>
          <w:szCs w:val="21"/>
        </w:rPr>
        <w:t xml:space="preserve">Figure 8 shows the frequency confirmation results: HURRAY vs TightOpt BLA comparison (showing &lt; 0.5 mÅ shifts), wall-time breakdown, and a scatter plot of BLA/δ vs computation time with all four zero-imaginary-frequency confirmations marked.</w:t>
      </w:r>
    </w:p>
    <w:p>
      <w:pPr>
        <w:spacing w:before="100" w:after="60"/>
        <w:jc w:val="center"/>
      </w:pPr>
      <w:r>
        <w:drawing>
          <wp:inline distT="0" distB="0" distL="0" distR="0">
            <wp:extent cx="56612790000" cy="2525801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12790000" cy="25258014000"/>
                    </a:xfrm>
                    <a:prstGeom prst="rect">
                      <a:avLst/>
                    </a:prstGeom>
                  </pic:spPr>
                </pic:pic>
              </a:graphicData>
            </a:graphic>
          </wp:inline>
        </w:drawing>
      </w:r>
    </w:p>
    <w:p>
      <w:pPr>
        <w:spacing w:before="60" w:after="120"/>
        <w:jc w:val="center"/>
      </w:pPr>
      <w:r>
        <w:rPr>
          <w:rFonts w:ascii="Georgia" w:cs="Georgia" w:eastAsia="Georgia" w:hAnsi="Georgia"/>
          <w:b/>
          <w:bCs/>
          <w:color w:val="0A5F6A"/>
          <w:sz w:val="18"/>
          <w:szCs w:val="18"/>
        </w:rPr>
        <w:t xml:space="preserve"/>
      </w:r>
      <w:r>
        <w:rPr>
          <w:rFonts w:ascii="Georgia" w:cs="Georgia" w:eastAsia="Georgia" w:hAnsi="Georgia"/>
          <w:color w:val="333344"/>
          <w:sz w:val="18"/>
          <w:szCs w:val="18"/>
        </w:rPr>
        <w:t xml:space="preserve">Figure 8. Frequency confirmation results. Left: HURRAY vs TightOpt BLA comparison  -  max shift +0.5 mÅ, confirming HURRAY structures were already well converged. Centre: stacked wall times (HURRAY geom + TightOpt+Hessian). Right: BLA/δ vs computation time for all four confirmed structures.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000"/>
        <w:gridCol w:w="1000"/>
        <w:gridCol w:w="1200"/>
        <w:gridCol w:w="900"/>
        <w:gridCol w:w="1300"/>
      </w:tblGrid>
      <w:tr>
        <w:trPr>
          <w:tblHeader/>
        </w:trPr>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Molecule</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TightOpt cycles</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Freq wall time</w:t>
            </w:r>
          </w:p>
        </w:tc>
        <w:tc>
          <w:tcPr>
            <w:tcW w:type="dxa" w:w="10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Imaginary freqs</w:t>
            </w:r>
          </w:p>
        </w:tc>
        <w:tc>
          <w:tcPr>
            <w:tcW w:type="dxa" w:w="12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BLA TightOpt (Å)</w:t>
            </w:r>
          </w:p>
        </w:tc>
        <w:tc>
          <w:tcPr>
            <w:tcW w:type="dxa" w:w="9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BLA/δ</w:t>
            </w:r>
          </w:p>
        </w:tc>
        <w:tc>
          <w:tcPr>
            <w:tcW w:type="dxa" w:w="1300"/>
            <w:tcBorders>
              <w:top w:val="single" w:color="BBBBBB" w:sz="1"/>
              <w:left w:val="single" w:color="BBBBBB" w:sz="1"/>
              <w:bottom w:val="single" w:color="BBBBBB" w:sz="1"/>
              <w:right w:val="single" w:color="BBBBBB" w:sz="1"/>
            </w:tcBorders>
            <w:shd w:fill="0D1828" w:val="clear"/>
            <w:tcMar>
              <w:top w:type="dxa" w:w="70"/>
              <w:left w:type="dxa" w:w="90"/>
              <w:bottom w:type="dxa" w:w="70"/>
              <w:right w:type="dxa" w:w="90"/>
            </w:tcMar>
          </w:tcPr>
          <w:p>
            <w:pPr>
              <w:spacing w:before="50" w:after="50"/>
              <w:jc w:val="center"/>
            </w:pPr>
            <w:r>
              <w:rPr>
                <w:rFonts w:ascii="Courier New" w:cs="Courier New" w:eastAsia="Courier New" w:hAnsi="Courier New"/>
                <w:b/>
                <w:bCs/>
                <w:i w:val="false"/>
                <w:iCs w:val="false"/>
                <w:color w:val="FFFFFF"/>
                <w:sz w:val="17"/>
                <w:szCs w:val="17"/>
              </w:rPr>
              <w:t xml:space="preserve">Status</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Cy7⁺</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10</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5 h 20 min</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w:t>
            </w:r>
          </w:p>
        </w:tc>
        <w:tc>
          <w:tcPr>
            <w:tcW w:type="dxa" w:w="12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0.04762</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3.491</w:t>
            </w:r>
          </w:p>
        </w:tc>
        <w:tc>
          <w:tcPr>
            <w:tcW w:type="dxa" w:w="13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True minimum</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Cy9⁺</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5</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 h 48 min</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w:t>
            </w:r>
          </w:p>
        </w:tc>
        <w:tc>
          <w:tcPr>
            <w:tcW w:type="dxa" w:w="12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0.04902</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3.593</w:t>
            </w:r>
          </w:p>
        </w:tc>
        <w:tc>
          <w:tcPr>
            <w:tcW w:type="dxa" w:w="13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True minimum</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Cy11⁰</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7</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5 h 33 min</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w:t>
            </w:r>
          </w:p>
        </w:tc>
        <w:tc>
          <w:tcPr>
            <w:tcW w:type="dxa" w:w="12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0.05410</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3.966</w:t>
            </w:r>
          </w:p>
        </w:tc>
        <w:tc>
          <w:tcPr>
            <w:tcW w:type="dxa" w:w="13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True minimum</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Cy11⁺</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 h 45 min</w:t>
            </w:r>
          </w:p>
        </w:tc>
        <w:tc>
          <w:tcPr>
            <w:tcW w:type="dxa" w:w="10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w:t>
            </w:r>
          </w:p>
        </w:tc>
        <w:tc>
          <w:tcPr>
            <w:tcW w:type="dxa" w:w="12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0.05037</w:t>
            </w:r>
          </w:p>
        </w:tc>
        <w:tc>
          <w:tcPr>
            <w:tcW w:type="dxa" w:w="9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3.692</w:t>
            </w:r>
          </w:p>
        </w:tc>
        <w:tc>
          <w:tcPr>
            <w:tcW w:type="dxa" w:w="1300"/>
            <w:tcBorders>
              <w:top w:val="single" w:color="BBBBBB" w:sz="1"/>
              <w:left w:val="single" w:color="BBBBBB" w:sz="1"/>
              <w:bottom w:val="single" w:color="BBBBBB" w:sz="1"/>
              <w:right w:val="single" w:color="BBBBBB" w:sz="1"/>
            </w:tcBorders>
            <w:shd w:fill="FFFFFF"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 True minimum</w:t>
            </w:r>
          </w:p>
        </w:tc>
      </w:tr>
      <w:tr>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Total</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24</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18 h 26 min</w:t>
            </w:r>
          </w:p>
        </w:tc>
        <w:tc>
          <w:tcPr>
            <w:tcW w:type="dxa" w:w="10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0</w:t>
            </w:r>
          </w:p>
        </w:tc>
        <w:tc>
          <w:tcPr>
            <w:tcW w:type="dxa" w:w="12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Mean: 0.05028</w:t>
            </w:r>
          </w:p>
        </w:tc>
        <w:tc>
          <w:tcPr>
            <w:tcW w:type="dxa" w:w="9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right"/>
            </w:pPr>
            <w:r>
              <w:rPr>
                <w:rFonts w:ascii="Courier New" w:cs="Courier New" w:eastAsia="Courier New" w:hAnsi="Courier New"/>
                <w:b w:val="false"/>
                <w:bCs w:val="false"/>
                <w:i w:val="false"/>
                <w:iCs w:val="false"/>
                <w:color w:val="111122"/>
                <w:sz w:val="17"/>
                <w:szCs w:val="17"/>
              </w:rPr>
              <w:t xml:space="preserve">3.685</w:t>
            </w:r>
          </w:p>
        </w:tc>
        <w:tc>
          <w:tcPr>
            <w:tcW w:type="dxa" w:w="1300"/>
            <w:tcBorders>
              <w:top w:val="single" w:color="BBBBBB" w:sz="1"/>
              <w:left w:val="single" w:color="BBBBBB" w:sz="1"/>
              <w:bottom w:val="single" w:color="BBBBBB" w:sz="1"/>
              <w:right w:val="single" w:color="BBBBBB" w:sz="1"/>
            </w:tcBorders>
            <w:shd w:fill="F5F7FA" w:val="clear"/>
            <w:tcMar>
              <w:top w:type="dxa" w:w="55"/>
              <w:left w:type="dxa" w:w="90"/>
              <w:bottom w:type="dxa" w:w="55"/>
              <w:right w:type="dxa" w:w="90"/>
            </w:tcMar>
          </w:tcPr>
          <w:p>
            <w:pPr>
              <w:spacing w:before="45" w:after="45"/>
              <w:jc w:val="left"/>
            </w:pPr>
            <w:r>
              <w:rPr>
                <w:rFonts w:ascii="Georgia" w:cs="Georgia" w:eastAsia="Georgia" w:hAnsi="Georgia"/>
                <w:b w:val="false"/>
                <w:bCs w:val="false"/>
                <w:i w:val="false"/>
                <w:iCs w:val="false"/>
                <w:color w:val="111122"/>
                <w:sz w:val="17"/>
                <w:szCs w:val="17"/>
              </w:rPr>
              <w:t xml:space="preserve">All confirmed</w:t>
            </w:r>
          </w:p>
        </w:tc>
      </w:tr>
    </w:tbl>
    <w:p>
      <w:pPr>
        <w:pBdr>
          <w:left w:val="single" w:color="B8860B" w:sz="10" w:space="6"/>
        </w:pBdr>
        <w:spacing w:before="80" w:after="80"/>
        <w:ind w:left="720" w:right="360"/>
      </w:pPr>
      <w:r>
        <w:rPr>
          <w:rFonts w:ascii="Georgia" w:cs="Georgia" w:eastAsia="Georgia" w:hAnsi="Georgia"/>
          <w:b w:val="false"/>
          <w:bCs w:val="false"/>
          <w:i/>
          <w:iCs/>
          <w:color w:val="555566"/>
          <w:sz w:val="19"/>
          <w:szCs w:val="19"/>
        </w:rPr>
        <w:t xml:space="preserve">TightOpt BLA values shift by at most +0.0005 Å (0.5 mÅ) relative to HURRAY geometries, confirming the HURRAY-converged structures were already well converged. Frequency-confirmed mean BLA/δ_PC = 3.685 vs 3.679 from HURRAY geometries  -  a difference of 0.17%, within calculation precision.</w:t>
      </w:r>
    </w:p>
    <w:p>
      <w:pPr>
        <w:spacing w:before="60" w:after="60"/>
        <w:jc w:val="both"/>
      </w:pPr>
      <w:r>
        <w:rPr>
          <w:rFonts w:ascii="Georgia" w:cs="Georgia" w:eastAsia="Georgia" w:hAnsi="Georgia"/>
          <w:b w:val="false"/>
          <w:bCs w:val="false"/>
          <w:i w:val="false"/>
          <w:iCs w:val="false"/>
          <w:color w:val="111122"/>
          <w:sz w:val="21"/>
          <w:szCs w:val="21"/>
        </w:rPr>
        <w:t xml:space="preserve"/>
      </w:r>
    </w:p>
    <w:p>
      <w:pPr>
        <w:pBdr>
          <w:bottom w:val="single" w:color="DDDDDD" w:sz="2" w:space="4"/>
        </w:pBdr>
        <w:spacing w:before="40" w:after="40"/>
      </w:pPr>
      <w:r>
        <w:rPr>
          <w:rFonts w:ascii="Georgia" w:cs="Georgia" w:eastAsia="Georgia" w:hAnsi="Georgia"/>
          <w:b w:val="false"/>
          <w:bCs w:val="false"/>
          <w:i w:val="false"/>
          <w:iCs w:val="false"/>
          <w:color w:val="111122"/>
          <w:sz w:val="21"/>
          <w:szCs w:val="21"/>
        </w:rPr>
        <w:t xml:space="preserve"/>
      </w:r>
    </w:p>
    <w:p>
      <w:pPr>
        <w:pStyle w:val="Heading1"/>
        <w:pBdr>
          <w:bottom w:val="single" w:color="B8860B" w:sz="6" w:space="4"/>
        </w:pBdr>
        <w:spacing w:before="280" w:after="100"/>
      </w:pPr>
      <w:r>
        <w:rPr>
          <w:rFonts w:ascii="Georgia" w:cs="Georgia" w:eastAsia="Georgia" w:hAnsi="Georgia"/>
          <w:b/>
          <w:bCs/>
          <w:caps/>
          <w:color w:val="0D1828"/>
          <w:sz w:val="34"/>
          <w:szCs w:val="34"/>
        </w:rPr>
        <w:t xml:space="preserve">10. Neutral Series  -  BLA Convergence</w:t>
      </w:r>
    </w:p>
    <w:p>
      <w:pPr>
        <w:spacing w:before="80" w:after="80"/>
        <w:jc w:val="both"/>
      </w:pPr>
      <w:r>
        <w:rPr>
          <w:rFonts w:ascii="Georgia" w:cs="Georgia" w:eastAsia="Georgia" w:hAnsi="Georgia"/>
          <w:b w:val="false"/>
          <w:bCs w:val="false"/>
          <w:i w:val="false"/>
          <w:iCs w:val="false"/>
          <w:color w:val="111122"/>
          <w:sz w:val="21"/>
          <w:szCs w:val="21"/>
        </w:rPr>
        <w:t xml:space="preserve">Figure 9 highlights the most structurally surprising result of the neutral series: BLA stabilises to a near-constant value of ≈0.054 Å from Cy5 onward, varying by only 0.00018 Å across six carbons (Cy5–Cy11). This near-constancy contrasts sharply with the cation series (which shows a monotonic increase) and with polyene systems.</w:t>
      </w:r>
    </w:p>
    <w:p>
      <w:pPr>
        <w:spacing w:before="100" w:after="60"/>
        <w:jc w:val="center"/>
      </w:pPr>
      <w:r>
        <w:drawing>
          <wp:inline distT="0" distB="0" distL="0" distR="0">
            <wp:extent cx="56612790000" cy="261289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12790000" cy="26128980000"/>
                    </a:xfrm>
                    <a:prstGeom prst="rect">
                      <a:avLst/>
                    </a:prstGeom>
                  </pic:spPr>
                </pic:pic>
              </a:graphicData>
            </a:graphic>
          </wp:inline>
        </w:drawing>
      </w:r>
    </w:p>
    <w:p>
      <w:pPr>
        <w:spacing w:before="60" w:after="120"/>
        <w:jc w:val="center"/>
      </w:pPr>
      <w:r>
        <w:rPr>
          <w:rFonts w:ascii="Georgia" w:cs="Georgia" w:eastAsia="Georgia" w:hAnsi="Georgia"/>
          <w:b/>
          <w:bCs/>
          <w:color w:val="0A5F6A"/>
          <w:sz w:val="18"/>
          <w:szCs w:val="18"/>
        </w:rPr>
        <w:t xml:space="preserve"/>
      </w:r>
      <w:r>
        <w:rPr>
          <w:rFonts w:ascii="Georgia" w:cs="Georgia" w:eastAsia="Georgia" w:hAnsi="Georgia"/>
          <w:color w:val="333344"/>
          <w:sz w:val="18"/>
          <w:szCs w:val="18"/>
        </w:rPr>
        <w:t xml:space="preserve">Figure 9. Neutral radical series results. Left: BLA vs chain length with inset zoom on Cy5–Cy11 (ΔBLAmax = 0.00018 Å over 6 carbons  -  a near-constant fixed point). Right: horizontal bar chart of BLA/δ for all 10 converged structures; white-bordered bars are within the CPCS band (3δ, 4δ).</w:t>
      </w:r>
    </w:p>
    <w:p>
      <w:pPr>
        <w:pBdr>
          <w:left w:val="single" w:color="B8860B" w:sz="10" w:space="6"/>
        </w:pBdr>
        <w:spacing w:before="80" w:after="80"/>
        <w:ind w:left="720" w:right="360"/>
      </w:pPr>
      <w:r>
        <w:rPr>
          <w:rFonts w:ascii="Georgia" w:cs="Georgia" w:eastAsia="Georgia" w:hAnsi="Georgia"/>
          <w:b w:val="false"/>
          <w:bCs w:val="false"/>
          <w:i/>
          <w:iCs/>
          <w:color w:val="555566"/>
          <w:sz w:val="19"/>
          <w:szCs w:val="19"/>
        </w:rPr>
        <w:t xml:space="preserve">The neutral BLA fixed point is interpreted within the CPCS framework as BLA being determined by an accumulated geometric (Berry) phase of π-electrons traversing a loop incommensurate with 2π by δ_PC, rather than by chain-length-dependent Peierls competition. This remains speculative and requires first-principles validation.</w:t>
      </w:r>
    </w:p>
    <w:p>
      <w:pPr>
        <w:spacing w:before="60" w:after="60"/>
        <w:jc w:val="both"/>
      </w:pPr>
      <w:r>
        <w:rPr>
          <w:rFonts w:ascii="Georgia" w:cs="Georgia" w:eastAsia="Georgia" w:hAnsi="Georgia"/>
          <w:b w:val="false"/>
          <w:bCs w:val="false"/>
          <w:i w:val="false"/>
          <w:iCs w:val="false"/>
          <w:color w:val="111122"/>
          <w:sz w:val="21"/>
          <w:szCs w:val="21"/>
        </w:rPr>
        <w:t xml:space="preserve"/>
      </w:r>
    </w:p>
    <w:p>
      <w:pPr>
        <w:pBdr>
          <w:bottom w:val="single" w:color="DDDDDD" w:sz="2" w:space="4"/>
        </w:pBdr>
        <w:spacing w:before="40" w:after="40"/>
      </w:pPr>
      <w:r>
        <w:rPr>
          <w:rFonts w:ascii="Georgia" w:cs="Georgia" w:eastAsia="Georgia" w:hAnsi="Georgia"/>
          <w:b w:val="false"/>
          <w:bCs w:val="false"/>
          <w:i w:val="false"/>
          <w:iCs w:val="false"/>
          <w:color w:val="111122"/>
          <w:sz w:val="21"/>
          <w:szCs w:val="21"/>
        </w:rPr>
        <w:t xml:space="preserve"/>
      </w:r>
    </w:p>
    <w:p>
      <w:pPr>
        <w:pStyle w:val="Heading1"/>
        <w:pBdr>
          <w:bottom w:val="single" w:color="B8860B" w:sz="6" w:space="4"/>
        </w:pBdr>
        <w:spacing w:before="280" w:after="100"/>
      </w:pPr>
      <w:r>
        <w:rPr>
          <w:rFonts w:ascii="Georgia" w:cs="Georgia" w:eastAsia="Georgia" w:hAnsi="Georgia"/>
          <w:b/>
          <w:bCs/>
          <w:caps/>
          <w:color w:val="0D1828"/>
          <w:sz w:val="34"/>
          <w:szCs w:val="34"/>
        </w:rPr>
        <w:t xml:space="preserve">11. Discussion</w:t>
      </w:r>
    </w:p>
    <w:p>
      <w:pPr>
        <w:spacing w:before="80" w:after="80"/>
        <w:ind w:left="360" w:right="360"/>
        <w:jc w:val="both"/>
      </w:pPr>
      <w:r>
        <w:rPr>
          <w:rFonts w:ascii="Georgia" w:cs="Georgia" w:hAnsi="Georgia"/>
          <w:b/>
          <w:color w:val="5A3E00"/>
          <w:sz w:val="19"/>
        </w:rPr>
        <w:t xml:space="preserve">Scope of claims. </w:t>
      </w:r>
      <w:r>
        <w:rPr>
          <w:rFonts w:ascii="Georgia" w:cs="Georgia" w:hAnsi="Georgia"/>
          <w:i/>
          <w:color w:val="555566"/>
          <w:sz w:val="19"/>
        </w:rPr>
        <w:t xml:space="preserve">This work makes claims at two distinct levels. The DFT results (Sections 4–9) are straightforwardly computational: geometries, energies, orbital eigenvalues, and TD-DFT excitation spectra obtained from a well-validated level of theory (CAM-B3LYP/6-31G*) and software (ORCA 6.1.1). These are reported as computed data; the systematic overestimation of BLA by CAM-B3LYP (~0.005–0.015 Å relative to CCSD(T)) is acknowledged in Section 11.2. The CPCS correspondence (BLA/δ ≈ 3.685 and the Perfect Fifth Anomaly) is a numerical observation; no first-principles derivation is claimed, and the physical interpretation is explicitly presented as a hypothesis requiring further theoretical and experimental validation.</w:t>
      </w:r>
    </w:p>
    <w:p>
      <w:pPr>
        <w:pStyle w:val="Heading2"/>
        <w:spacing w:before="180" w:after="80"/>
      </w:pPr>
      <w:r>
        <w:rPr>
          <w:rFonts w:ascii="Georgia" w:cs="Georgia" w:eastAsia="Georgia" w:hAnsi="Georgia"/>
          <w:b/>
          <w:bCs/>
          <w:color w:val="0A5F6A"/>
          <w:sz w:val="26"/>
          <w:szCs w:val="26"/>
        </w:rPr>
        <w:t xml:space="preserve">11.1 Structural Validity</w:t>
      </w:r>
    </w:p>
    <w:p>
      <w:pPr>
        <w:spacing w:before="80" w:after="80"/>
        <w:jc w:val="both"/>
      </w:pPr>
      <w:r>
        <w:rPr>
          <w:rFonts w:ascii="Georgia" w:cs="Georgia" w:eastAsia="Georgia" w:hAnsi="Georgia"/>
          <w:b w:val="false"/>
          <w:bCs w:val="false"/>
          <w:i w:val="false"/>
          <w:iCs w:val="false"/>
          <w:color w:val="111122"/>
          <w:sz w:val="21"/>
          <w:szCs w:val="21"/>
        </w:rPr>
        <w:t xml:space="preserve">All C–C bond lengths fall in the range 1.353–1.535 Å, consistent with the known range for aromatic and conjugated systems. The sp³ C–C bonds (≈1.524–1.534 Å) are close to the standard sp³–sp³ reference of 1.540 Å (ethane). The C=N iminium bonds (≈1.352 Å) agree with DFT values reported for analogous indolenine cyanines. All four structures confirmed as true local minima by analytic Hessian frequency analysis (zero imaginary frequencies). The geometry optimisations are reliable and the results are publication-quality.</w:t>
      </w:r>
    </w:p>
    <w:p>
      <w:pPr>
        <w:pStyle w:val="Heading2"/>
        <w:spacing w:before="180" w:after="80"/>
      </w:pPr>
      <w:r>
        <w:rPr>
          <w:rFonts w:ascii="Georgia" w:cs="Georgia" w:eastAsia="Georgia" w:hAnsi="Georgia"/>
          <w:b/>
          <w:bCs/>
          <w:color w:val="0A5F6A"/>
          <w:sz w:val="26"/>
          <w:szCs w:val="26"/>
        </w:rPr>
        <w:t xml:space="preserve">11.2 Functional Performance</w:t>
      </w:r>
    </w:p>
    <w:p>
      <w:pPr>
        <w:spacing w:before="80" w:after="80"/>
        <w:jc w:val="both"/>
      </w:pPr>
      <w:r>
        <w:rPr>
          <w:rFonts w:ascii="Georgia" w:cs="Georgia" w:eastAsia="Georgia" w:hAnsi="Georgia"/>
          <w:b w:val="false"/>
          <w:bCs w:val="false"/>
          <w:i w:val="false"/>
          <w:iCs w:val="false"/>
          <w:color w:val="111122"/>
          <w:sz w:val="21"/>
          <w:szCs w:val="21"/>
        </w:rPr>
        <w:t xml:space="preserve">CAM-B3LYP is known to overestimate BLA by ≈0.005–0.015 Å relative to CCSD(T) benchmarks for polymethines. The computed values (0.047–0.054 Å for cations) are thus likely upper bounds. True BLA values are expected to be 10–30% lower (mean ratio ≈2.9–3.3 rather than 3.69). CCSD(T)-level calculations for these chain lengths would require substantially more computation but would resolve this systematic bias.</w:t>
      </w:r>
    </w:p>
    <w:p>
      <w:pPr>
        <w:pStyle w:val="Heading2"/>
        <w:spacing w:before="180" w:after="80"/>
      </w:pPr>
      <w:r>
        <w:rPr>
          <w:rFonts w:ascii="Georgia" w:cs="Georgia" w:eastAsia="Georgia" w:hAnsi="Georgia"/>
          <w:b/>
          <w:bCs/>
          <w:color w:val="0A5F6A"/>
          <w:sz w:val="26"/>
          <w:szCs w:val="26"/>
        </w:rPr>
        <w:t xml:space="preserve">11.3 LUMO Pinning</w:t>
      </w:r>
    </w:p>
    <w:p>
      <w:pPr>
        <w:spacing w:before="80" w:after="80"/>
        <w:jc w:val="both"/>
      </w:pPr>
      <w:r>
        <w:rPr>
          <w:rFonts w:ascii="Georgia" w:cs="Georgia" w:eastAsia="Georgia" w:hAnsi="Georgia"/>
          <w:b w:val="false"/>
          <w:bCs w:val="false"/>
          <w:i w:val="false"/>
          <w:iCs w:val="false"/>
          <w:color w:val="111122"/>
          <w:sz w:val="21"/>
          <w:szCs w:val="21"/>
        </w:rPr>
        <w:t xml:space="preserve">The near-constant LUMO energy (σ = 0.013 eV across Cy7⁺–Cy11⁺) is a known feature of symmetric cyanines arising from the LUMO wavefunction having a node at the meso position. This is the microscopic reason the chain-length red-shift is HOMO-dominated: adding vinyl units raises the HOMO toward the pinned LUMO. The KS gap (3.55→3.09 eV) underestimates the optical gap; TD-DFT is required for quantitative λ_max prediction.</w:t>
      </w:r>
    </w:p>
    <w:p>
      <w:pPr>
        <w:pStyle w:val="Heading2"/>
        <w:spacing w:before="180" w:after="80"/>
      </w:pPr>
      <w:r>
        <w:rPr>
          <w:rFonts w:ascii="Georgia" w:cs="Georgia" w:eastAsia="Georgia" w:hAnsi="Georgia"/>
          <w:b/>
          <w:bCs/>
          <w:color w:val="0A5F6A"/>
          <w:sz w:val="26"/>
          <w:szCs w:val="26"/>
        </w:rPr>
        <w:t xml:space="preserve">11.4 The Comma Correspondence</w:t>
      </w:r>
    </w:p>
    <w:p>
      <w:pPr>
        <w:spacing w:before="80" w:after="80"/>
        <w:jc w:val="both"/>
      </w:pPr>
      <w:r>
        <w:rPr>
          <w:rFonts w:ascii="Georgia" w:cs="Georgia" w:eastAsia="Georgia" w:hAnsi="Georgia"/>
          <w:b w:val="false"/>
          <w:bCs w:val="false"/>
          <w:i w:val="false"/>
          <w:iCs w:val="false"/>
          <w:color w:val="111122"/>
          <w:sz w:val="21"/>
          <w:szCs w:val="21"/>
        </w:rPr>
        <w:t xml:space="preserve">The Pythagorean comma arises from the multiplicative incommensurability of 3/2 and 2/1  -  a number-theoretic fact, not a musical convention. BLA in real cyanines is also a residual gap: the competition between Peierls distortion and π-delocalisation can approach zero (the cyanine ideal) but in practice leaves a small non-zero remainder. Both the comma and BLA are, structurally, the measure of how far a nearly-ideal system falls short of its ideal. Whether this structural analogy extends to a quantitative correspondence (BLA/δ_PC ≈ 3.685) with a first-principles derivation remains an open question.</w:t>
      </w:r>
    </w:p>
    <w:p>
      <w:pPr>
        <w:pBdr>
          <w:bottom w:val="single" w:color="DDDDDD" w:sz="2" w:space="4"/>
        </w:pBdr>
        <w:spacing w:before="40" w:after="40"/>
      </w:pPr>
      <w:r>
        <w:rPr>
          <w:rFonts w:ascii="Georgia" w:cs="Georgia" w:eastAsia="Georgia" w:hAnsi="Georgia"/>
          <w:b w:val="false"/>
          <w:bCs w:val="false"/>
          <w:i w:val="false"/>
          <w:iCs w:val="false"/>
          <w:color w:val="111122"/>
          <w:sz w:val="21"/>
          <w:szCs w:val="21"/>
        </w:rPr>
        <w:t xml:space="preserve"/>
      </w:r>
    </w:p>
    <w:p>
      <w:pPr>
        <w:pStyle w:val="Heading1"/>
        <w:pBdr>
          <w:bottom w:val="single" w:color="B8860B" w:sz="6" w:space="4"/>
        </w:pBdr>
        <w:spacing w:before="280" w:after="100"/>
      </w:pPr>
      <w:r>
        <w:rPr>
          <w:rFonts w:ascii="Georgia" w:cs="Georgia" w:eastAsia="Georgia" w:hAnsi="Georgia"/>
          <w:b/>
          <w:bCs/>
          <w:caps/>
          <w:color w:val="0D1828"/>
          <w:sz w:val="34"/>
          <w:szCs w:val="34"/>
        </w:rPr>
        <w:t xml:space="preserve">12. Conclusions</w:t>
      </w:r>
    </w:p>
    <w:p>
      <w:pPr>
        <w:pStyle w:val="ListParagraph"/>
        <w:numPr>
          <w:ilvl w:val="0"/>
          <w:numId w:val="2"/>
        </w:numPr>
        <w:spacing w:before="50" w:after="50"/>
      </w:pPr>
      <w:r>
        <w:rPr>
          <w:rFonts w:ascii="Georgia" w:cs="Georgia" w:eastAsia="Georgia" w:hAnsi="Georgia"/>
          <w:b/>
          <w:bCs/>
          <w:i w:val="false"/>
          <w:iCs w:val="false"/>
          <w:color w:val="111122"/>
          <w:sz w:val="20"/>
          <w:szCs w:val="20"/>
        </w:rPr>
        <w:t xml:space="preserve">BLA values (freq-confirmed):</w:t>
      </w:r>
      <w:r>
        <w:rPr>
          <w:rFonts w:ascii="Georgia" w:cs="Georgia" w:eastAsia="Georgia" w:hAnsi="Georgia"/>
          <w:b w:val="false"/>
          <w:bCs w:val="false"/>
          <w:i w:val="false"/>
          <w:iCs w:val="false"/>
          <w:color w:val="111122"/>
          <w:sz w:val="20"/>
          <w:szCs w:val="20"/>
        </w:rPr>
        <w:t xml:space="preserve"> 0.04762, 0.04902, 0.05410, 0.05037 Å (mean 0.05028 ± 0.00252 Å). All cations firmly in cyanine regime.</w:t>
      </w:r>
    </w:p>
    <w:p>
      <w:pPr>
        <w:pStyle w:val="ListParagraph"/>
        <w:numPr>
          <w:ilvl w:val="0"/>
          <w:numId w:val="2"/>
        </w:numPr>
        <w:spacing w:before="50" w:after="50"/>
      </w:pPr>
      <w:r>
        <w:rPr>
          <w:rFonts w:ascii="Georgia" w:cs="Georgia" w:eastAsia="Georgia" w:hAnsi="Georgia"/>
          <w:b/>
          <w:bCs/>
          <w:i w:val="false"/>
          <w:iCs w:val="false"/>
          <w:color w:val="111122"/>
          <w:sz w:val="20"/>
          <w:szCs w:val="20"/>
        </w:rPr>
        <w:t xml:space="preserve">Chain-length dependence (cations):</w:t>
      </w:r>
      <w:r>
        <w:rPr>
          <w:rFonts w:ascii="Georgia" w:cs="Georgia" w:eastAsia="Georgia" w:hAnsi="Georgia"/>
          <w:b w:val="false"/>
          <w:bCs w:val="false"/>
          <w:i w:val="false"/>
          <w:iCs w:val="false"/>
          <w:color w:val="111122"/>
          <w:sz w:val="20"/>
          <w:szCs w:val="20"/>
        </w:rPr>
        <w:t xml:space="preserve"> dBLA/dn = 8.47×10⁻⁴ Å per carbon  -  order of magnitude slower than polyenes.</w:t>
      </w:r>
    </w:p>
    <w:p>
      <w:pPr>
        <w:pStyle w:val="ListParagraph"/>
        <w:numPr>
          <w:ilvl w:val="0"/>
          <w:numId w:val="2"/>
        </w:numPr>
        <w:spacing w:before="50" w:after="50"/>
      </w:pPr>
      <w:r>
        <w:rPr>
          <w:rFonts w:ascii="Georgia" w:cs="Georgia" w:eastAsia="Georgia" w:hAnsi="Georgia"/>
          <w:b/>
          <w:bCs/>
          <w:i w:val="false"/>
          <w:iCs w:val="false"/>
          <w:color w:val="111122"/>
          <w:sz w:val="20"/>
          <w:szCs w:val="20"/>
        </w:rPr>
        <w:t xml:space="preserve">Charge effect (Cy11):</w:t>
      </w:r>
      <w:r>
        <w:rPr>
          <w:rFonts w:ascii="Georgia" w:cs="Georgia" w:eastAsia="Georgia" w:hAnsi="Georgia"/>
          <w:b w:val="false"/>
          <w:bCs w:val="false"/>
          <w:i w:val="false"/>
          <w:iCs w:val="false"/>
          <w:color w:val="111122"/>
          <w:sz w:val="20"/>
          <w:szCs w:val="20"/>
        </w:rPr>
        <w:t xml:space="preserve"> ΔBLA = −0.00373 Å = −0.273 δ_PC upon oxidation. Caveat: functional inconsistency.</w:t>
      </w:r>
    </w:p>
    <w:p>
      <w:pPr>
        <w:pStyle w:val="ListParagraph"/>
        <w:numPr>
          <w:ilvl w:val="0"/>
          <w:numId w:val="2"/>
        </w:numPr>
        <w:spacing w:before="50" w:after="50"/>
      </w:pPr>
      <w:r>
        <w:rPr>
          <w:rFonts w:ascii="Georgia" w:cs="Georgia" w:eastAsia="Georgia" w:hAnsi="Georgia"/>
          <w:b/>
          <w:bCs/>
          <w:i w:val="false"/>
          <w:iCs w:val="false"/>
          <w:color w:val="111122"/>
          <w:sz w:val="20"/>
          <w:szCs w:val="20"/>
        </w:rPr>
        <w:t xml:space="preserve">HOMO-LUMO gaps:</w:t>
      </w:r>
      <w:r>
        <w:rPr>
          <w:rFonts w:ascii="Georgia" w:cs="Georgia" w:eastAsia="Georgia" w:hAnsi="Georgia"/>
          <w:b w:val="false"/>
          <w:bCs w:val="false"/>
          <w:i w:val="false"/>
          <w:iCs w:val="false"/>
          <w:color w:val="111122"/>
          <w:sz w:val="20"/>
          <w:szCs w:val="20"/>
        </w:rPr>
        <w:t xml:space="preserve"> 3.55 → 3.09 eV across cations. LUMO σ = 0.013 eV (pinned). Gap change is HOMO-dominated.</w:t>
      </w:r>
    </w:p>
    <w:p>
      <w:pPr>
        <w:pStyle w:val="ListParagraph"/>
        <w:numPr>
          <w:ilvl w:val="0"/>
          <w:numId w:val="2"/>
        </w:numPr>
        <w:spacing w:before="50" w:after="50"/>
      </w:pPr>
      <w:r>
        <w:rPr>
          <w:rFonts w:ascii="Georgia" w:cs="Georgia" w:eastAsia="Georgia" w:hAnsi="Georgia"/>
          <w:b/>
          <w:bCs/>
          <w:i w:val="false"/>
          <w:iCs w:val="false"/>
          <w:color w:val="111122"/>
          <w:sz w:val="20"/>
          <w:szCs w:val="20"/>
        </w:rPr>
        <w:t xml:space="preserve">C–N bonds:</w:t>
      </w:r>
      <w:r>
        <w:rPr>
          <w:rFonts w:ascii="Georgia" w:cs="Georgia" w:eastAsia="Georgia" w:hAnsi="Georgia"/>
          <w:b w:val="false"/>
          <w:bCs w:val="false"/>
          <w:i w:val="false"/>
          <w:iCs w:val="false"/>
          <w:color w:val="111122"/>
          <w:sz w:val="20"/>
          <w:szCs w:val="20"/>
        </w:rPr>
        <w:t xml:space="preserve"> Iminium C=N: ≈1.352 Å (cations), 1.381 Å (neutral)  -  29 mÅ elongation.</w:t>
      </w:r>
    </w:p>
    <w:p>
      <w:pPr>
        <w:pStyle w:val="ListParagraph"/>
        <w:numPr>
          <w:ilvl w:val="0"/>
          <w:numId w:val="2"/>
        </w:numPr>
        <w:spacing w:before="50" w:after="50"/>
      </w:pPr>
      <w:r>
        <w:rPr>
          <w:rFonts w:ascii="Georgia" w:cs="Georgia" w:eastAsia="Georgia" w:hAnsi="Georgia"/>
          <w:b/>
          <w:bCs/>
          <w:i w:val="false"/>
          <w:iCs w:val="false"/>
          <w:color w:val="111122"/>
          <w:sz w:val="20"/>
          <w:szCs w:val="20"/>
        </w:rPr>
        <w:t xml:space="preserve">Dipole moments:</w:t>
      </w:r>
      <w:r>
        <w:rPr>
          <w:rFonts w:ascii="Georgia" w:cs="Georgia" w:eastAsia="Georgia" w:hAnsi="Georgia"/>
          <w:b w:val="false"/>
          <w:bCs w:val="false"/>
          <w:i w:val="false"/>
          <w:iCs w:val="false"/>
          <w:color w:val="111122"/>
          <w:sz w:val="20"/>
          <w:szCs w:val="20"/>
        </w:rPr>
        <w:t xml:space="preserve"> 4.41–4.85 D (cations), 3.40 D (neutral).</w:t>
      </w:r>
    </w:p>
    <w:p>
      <w:pPr>
        <w:pStyle w:val="ListParagraph"/>
        <w:numPr>
          <w:ilvl w:val="0"/>
          <w:numId w:val="2"/>
        </w:numPr>
        <w:spacing w:before="50" w:after="50"/>
      </w:pPr>
      <w:r>
        <w:rPr>
          <w:rFonts w:ascii="Georgia" w:cs="Georgia" w:eastAsia="Georgia" w:hAnsi="Georgia"/>
          <w:b/>
          <w:bCs/>
          <w:i w:val="false"/>
          <w:iCs w:val="false"/>
          <w:color w:val="111122"/>
          <w:sz w:val="20"/>
          <w:szCs w:val="20"/>
        </w:rPr>
        <w:t xml:space="preserve">Pythagorean Comma (freq-confirmed):</w:t>
      </w:r>
      <w:r>
        <w:rPr>
          <w:rFonts w:ascii="Georgia" w:cs="Georgia" w:eastAsia="Georgia" w:hAnsi="Georgia"/>
          <w:b w:val="false"/>
          <w:bCs w:val="false"/>
          <w:i w:val="false"/>
          <w:iCs w:val="false"/>
          <w:color w:val="111122"/>
          <w:sz w:val="20"/>
          <w:szCs w:val="20"/>
        </w:rPr>
        <w:t xml:space="preserve"> mean BLA/δ_PC = 3.685 (Cy7⁺–Cy11⁺); all four in (3δ, 4δ) band. Cy13⁺: BLA/δ = 4.602, in (4δ, 5δ) band  -  band transition confirmed.</w:t>
      </w:r>
    </w:p>
    <w:p>
      <w:pPr>
        <w:pStyle w:val="ListParagraph"/>
        <w:numPr>
          <w:ilvl w:val="0"/>
          <w:numId w:val="2"/>
        </w:numPr>
        <w:spacing w:before="50" w:after="50"/>
      </w:pPr>
      <w:r>
        <w:rPr>
          <w:rFonts w:ascii="Georgia" w:cs="Georgia" w:eastAsia="Georgia" w:hAnsi="Georgia"/>
          <w:b/>
          <w:bCs/>
          <w:i w:val="false"/>
          <w:iCs w:val="false"/>
          <w:color w:val="111122"/>
          <w:sz w:val="20"/>
          <w:szCs w:val="20"/>
        </w:rPr>
        <w:t xml:space="preserve">Frequency confirmation:</w:t>
      </w:r>
      <w:r>
        <w:rPr>
          <w:rFonts w:ascii="Georgia" w:cs="Georgia" w:eastAsia="Georgia" w:hAnsi="Georgia"/>
          <w:b w:val="false"/>
          <w:bCs w:val="false"/>
          <w:i w:val="false"/>
          <w:iCs w:val="false"/>
          <w:color w:val="111122"/>
          <w:sz w:val="20"/>
          <w:szCs w:val="20"/>
        </w:rPr>
        <w:t xml:space="preserve"> All four structures: zero imaginary frequencies. True local minima confirmed.</w:t>
      </w:r>
    </w:p>
    <w:p>
      <w:pPr>
        <w:pStyle w:val="ListParagraph"/>
        <w:numPr>
          <w:ilvl w:val="0"/>
          <w:numId w:val="2"/>
        </w:numPr>
        <w:spacing w:before="50" w:after="50"/>
      </w:pPr>
      <w:r>
        <w:rPr>
          <w:rFonts w:ascii="Georgia" w:cs="Georgia" w:hAnsi="Georgia"/>
          <w:b/>
          <w:color w:val="7B2FBE"/>
          <w:sz w:val="20"/>
        </w:rPr>
        <w:t xml:space="preserve">Cy13⁺ Perfect Fifth Anomaly:</w:t>
      </w:r>
      <w:r>
        <w:rPr>
          <w:rFonts w:ascii="Georgia" w:cs="Georgia" w:hAnsi="Georgia"/>
          <w:color w:val="7B2FBE"/>
          <w:sz w:val="20"/>
        </w:rPr>
        <w:t xml:space="preserve"> BLA = 0.06279 Å = 4.602δ (above (3δ,4δ) band). KS gap = 2.721 eV. S₁ dark (CT state, &gt;10 μm, f = 0.0017). Dominant absorption: S₀→S₅ at 494 nm, f = 2.807. Blue-shifted from Cy11⁺. First DFT confirmation of CPCS excited-state manifold prediction.</w:t>
      </w:r>
    </w:p>
    <w:p>
      <w:pPr>
        <w:pStyle w:val="ListParagraph"/>
        <w:numPr>
          <w:ilvl w:val="0"/>
          <w:numId w:val="2"/>
        </w:numPr>
        <w:spacing w:before="50" w:after="50"/>
      </w:pPr>
      <w:r>
        <w:rPr>
          <w:rFonts w:ascii="Georgia" w:cs="Georgia" w:hAnsi="Georgia"/>
          <w:b/>
          <w:color w:val="111122"/>
          <w:sz w:val="20"/>
        </w:rPr>
        <w:t xml:space="preserve">Neutral series fixed point:</w:t>
      </w:r>
      <w:r>
        <w:rPr>
          <w:rFonts w:ascii="Georgia" w:cs="Georgia" w:hAnsi="Georgia"/>
          <w:color w:val="111122"/>
          <w:sz w:val="20"/>
        </w:rPr>
        <w:t xml:space="preserve"> BLA stabilises at ≈0.054 Å from Cy5 to Cy11 (ΔBLA = 0.00018 Å over 6C).</w:t>
      </w:r>
    </w:p>
    <w:p>
      <w:pPr>
        <w:spacing w:before="60" w:after="60"/>
        <w:jc w:val="both"/>
      </w:pPr>
      <w:r>
        <w:rPr>
          <w:rFonts w:ascii="Georgia" w:cs="Georgia" w:eastAsia="Georgia" w:hAnsi="Georgia"/>
          <w:b w:val="false"/>
          <w:bCs w:val="false"/>
          <w:i w:val="false"/>
          <w:iCs w:val="false"/>
          <w:color w:val="111122"/>
          <w:sz w:val="21"/>
          <w:szCs w:val="21"/>
        </w:rPr>
        <w:t xml:space="preserve"/>
      </w:r>
    </w:p>
    <w:p>
      <w:pPr>
        <w:spacing w:before="80" w:after="80"/>
        <w:jc w:val="both"/>
      </w:pPr>
      <w:r>
        <w:rPr>
          <w:rFonts w:ascii="Georgia" w:cs="Georgia" w:eastAsia="Georgia" w:hAnsi="Georgia"/>
          <w:b w:val="false"/>
          <w:bCs w:val="false"/>
          <w:i w:val="false"/>
          <w:iCs w:val="false"/>
          <w:color w:val="111122"/>
          <w:sz w:val="21"/>
          <w:szCs w:val="21"/>
        </w:rPr>
        <w:t xml:space="preserve">Next priorities: (i) formal re-convergence of Cy13⁺ (re-run from final coordinates; currently 81 cycles on flat PES); (ii) Cy15⁺ results (calculations running since 25 March 2026; will determine if dark-state regime persists or bright S₁ recovers at 5δ); (iii) CPCM/EtOH solvent correction (expected −0.003 to −0.010 Å BLA shift); (iv) consistent-functional comparison of Cy11⁰ and Cy11⁺ using CAM-B3LYP/UKS throughout; (v) fitting the gap decay E_gap(n) to extract the conjugation collapse point.</w:t>
      </w:r>
    </w:p>
    <w:p>
      <w:pPr>
        <w:pBdr>
          <w:bottom w:val="single" w:color="DDDDDD" w:sz="2" w:space="4"/>
        </w:pBdr>
        <w:spacing w:before="40" w:after="40"/>
      </w:pPr>
      <w:r>
        <w:rPr>
          <w:rFonts w:ascii="Georgia" w:cs="Georgia" w:eastAsia="Georgia" w:hAnsi="Georgia"/>
          <w:b w:val="false"/>
          <w:bCs w:val="false"/>
          <w:i w:val="false"/>
          <w:iCs w:val="false"/>
          <w:color w:val="111122"/>
          <w:sz w:val="21"/>
          <w:szCs w:val="21"/>
        </w:rPr>
        <w:t xml:space="preserve"/>
      </w:r>
    </w:p>
    <w:p>
      <w:pPr>
        <w:pStyle w:val="Heading1"/>
        <w:pBdr>
          <w:bottom w:val="single" w:color="B8860B" w:sz="6" w:space="4"/>
        </w:pBdr>
        <w:spacing w:before="280" w:after="100"/>
      </w:pPr>
      <w:r>
        <w:rPr>
          <w:rFonts w:ascii="Georgia" w:cs="Georgia" w:eastAsia="Georgia" w:hAnsi="Georgia"/>
          <w:b/>
          <w:bCs/>
          <w:caps/>
          <w:color w:val="0D1828"/>
          <w:sz w:val="34"/>
          <w:szCs w:val="34"/>
        </w:rPr>
        <w:t xml:space="preserve">References</w:t>
      </w:r>
    </w:p>
    <w:p>
      <w:pPr>
        <w:pStyle w:val="ListParagraph"/>
        <w:spacing w:before="40" w:after="40"/>
      </w:pPr>
      <w:r>
        <w:rPr>
          <w:rFonts w:ascii="Georgia" w:cs="Georgia" w:eastAsia="Georgia" w:hAnsi="Georgia"/>
          <w:b w:val="false"/>
          <w:bCs w:val="false"/>
          <w:i w:val="false"/>
          <w:iCs w:val="false"/>
          <w:color w:val="111122"/>
          <w:sz w:val="18"/>
          <w:szCs w:val="18"/>
        </w:rPr>
        <w:t xml:space="preserve">[1] Fabian, J.; Nakazumi, H.; Matsuoka, M. Near-infrared absorbing dyes. Chem. Rev. 1992, 92, 1197–1226. DOI: 10.1021/cr00014a003</w:t>
      </w:r>
    </w:p>
    <w:p>
      <w:pPr>
        <w:pStyle w:val="ListParagraph"/>
        <w:spacing w:before="40" w:after="40"/>
      </w:pPr>
      <w:r>
        <w:rPr>
          <w:rFonts w:ascii="Georgia" w:cs="Georgia" w:eastAsia="Georgia" w:hAnsi="Georgia"/>
          <w:b w:val="false"/>
          <w:bCs w:val="false"/>
          <w:i w:val="false"/>
          <w:iCs w:val="false"/>
          <w:color w:val="111122"/>
          <w:sz w:val="18"/>
          <w:szCs w:val="18"/>
        </w:rPr>
        <w:t xml:space="preserve">[2] Panigrahi, M.; Dash, S.; Patel, S.; Mishra, B.K. Syntheses of cyanines: a review. Tetrahedron 2012, 68, 781–805. DOI: 10.1016/j.tet.2011.10.069</w:t>
      </w:r>
    </w:p>
    <w:p>
      <w:pPr>
        <w:pStyle w:val="ListParagraph"/>
        <w:spacing w:before="40" w:after="40"/>
      </w:pPr>
      <w:r>
        <w:rPr>
          <w:rFonts w:ascii="Georgia" w:cs="Georgia" w:eastAsia="Georgia" w:hAnsi="Georgia"/>
          <w:b w:val="false"/>
          <w:bCs w:val="false"/>
          <w:i w:val="false"/>
          <w:iCs w:val="false"/>
          <w:color w:val="111122"/>
          <w:sz w:val="18"/>
          <w:szCs w:val="18"/>
        </w:rPr>
        <w:t xml:space="preserve">[3] Yuan, L.; Lin, W.; et al. Far-red to near infrared fluorescent probes. Chem. Soc. Rev. 2013, 42, 622–661. DOI: 10.1039/C2CS35337H</w:t>
      </w:r>
    </w:p>
    <w:p>
      <w:pPr>
        <w:pStyle w:val="ListParagraph"/>
        <w:spacing w:before="40" w:after="40"/>
      </w:pPr>
      <w:r>
        <w:rPr>
          <w:rFonts w:ascii="Georgia" w:cs="Georgia" w:eastAsia="Georgia" w:hAnsi="Georgia"/>
          <w:b w:val="false"/>
          <w:bCs w:val="false"/>
          <w:i w:val="false"/>
          <w:iCs w:val="false"/>
          <w:color w:val="111122"/>
          <w:sz w:val="18"/>
          <w:szCs w:val="18"/>
        </w:rPr>
        <w:t xml:space="preserve">[4] Soos, Z.G.; et al. Excitation and relaxation energies of trans-stilbene: valence bond theory of large polyenes. Phys. Rev. B 1993, 47, 1742. DOI: 10.1103/PhysRevB.47.1742</w:t>
      </w:r>
    </w:p>
    <w:p>
      <w:pPr>
        <w:pStyle w:val="ListParagraph"/>
        <w:spacing w:before="40" w:after="40"/>
      </w:pPr>
      <w:r>
        <w:rPr>
          <w:rFonts w:ascii="Georgia" w:cs="Georgia" w:eastAsia="Georgia" w:hAnsi="Georgia"/>
          <w:b w:val="false"/>
          <w:bCs w:val="false"/>
          <w:i w:val="false"/>
          <w:iCs w:val="false"/>
          <w:color w:val="111122"/>
          <w:sz w:val="18"/>
          <w:szCs w:val="18"/>
        </w:rPr>
        <w:t xml:space="preserve">[5] Champagne, B.; et al. Basis set and electron correlation effects on the static first and second hyperpolarizabilities of polymethine dyes. J. Chem. Phys. 2005, 122, 114315. DOI: 10.1063/1.1880992</w:t>
      </w:r>
    </w:p>
    <w:p>
      <w:pPr>
        <w:pStyle w:val="ListParagraph"/>
        <w:spacing w:before="40" w:after="40"/>
      </w:pPr>
      <w:r>
        <w:rPr>
          <w:rFonts w:ascii="Georgia" w:cs="Georgia" w:eastAsia="Georgia" w:hAnsi="Georgia"/>
          <w:b w:val="false"/>
          <w:bCs w:val="false"/>
          <w:i w:val="false"/>
          <w:iCs w:val="false"/>
          <w:color w:val="111122"/>
          <w:sz w:val="18"/>
          <w:szCs w:val="18"/>
        </w:rPr>
        <w:t xml:space="preserve">[6] Yanai, T.; Tew, D.P.; Handy, N.C. A new hybrid exchange-correlation functional using the Coulomb-attenuating method (CAM-B3LYP). Chem. Phys. Lett. 2004, 393, 51–57. DOI: 10.1016/j.cplett.2004.06.011</w:t>
      </w:r>
    </w:p>
    <w:p>
      <w:pPr>
        <w:pStyle w:val="ListParagraph"/>
        <w:spacing w:before="40" w:after="40"/>
      </w:pPr>
      <w:r>
        <w:rPr>
          <w:rFonts w:ascii="Georgia" w:cs="Georgia" w:eastAsia="Georgia" w:hAnsi="Georgia"/>
          <w:b w:val="false"/>
          <w:bCs w:val="false"/>
          <w:i w:val="false"/>
          <w:iCs w:val="false"/>
          <w:color w:val="111122"/>
          <w:sz w:val="18"/>
          <w:szCs w:val="18"/>
        </w:rPr>
        <w:t xml:space="preserve">[7] Jacquemin, D.; et al. Assessment of conventional density functional schemes for computing the polarizabilities and hyperpolarizabilities of conjugated molecules. J. Chem. Theory Comput. 2007, 3, 292–307. DOI: 10.1021/ct600190</w:t>
      </w:r>
    </w:p>
    <w:p>
      <w:pPr>
        <w:pStyle w:val="ListParagraph"/>
        <w:spacing w:before="40" w:after="40"/>
      </w:pPr>
      <w:r>
        <w:rPr>
          <w:rFonts w:ascii="Georgia" w:cs="Georgia" w:eastAsia="Georgia" w:hAnsi="Georgia"/>
          <w:b w:val="false"/>
          <w:bCs w:val="false"/>
          <w:i w:val="false"/>
          <w:iCs w:val="false"/>
          <w:color w:val="111122"/>
          <w:sz w:val="18"/>
          <w:szCs w:val="18"/>
        </w:rPr>
        <w:t xml:space="preserve">[8] Jacquemin, D.; et al. Extensive TD-DFT benchmark: singlet-excited states of organic molecules. J. Chem. Theory Comput. 2009, 5, 2420–2435. DOI: 10.1021/ct900298e</w:t>
      </w:r>
    </w:p>
    <w:p>
      <w:pPr>
        <w:pStyle w:val="ListParagraph"/>
        <w:spacing w:before="40" w:after="40"/>
      </w:pPr>
      <w:r>
        <w:rPr>
          <w:rFonts w:ascii="Georgia" w:cs="Georgia" w:eastAsia="Georgia" w:hAnsi="Georgia"/>
          <w:b w:val="false"/>
          <w:bCs w:val="false"/>
          <w:i w:val="false"/>
          <w:iCs w:val="false"/>
          <w:color w:val="111122"/>
          <w:sz w:val="18"/>
          <w:szCs w:val="18"/>
        </w:rPr>
        <w:t xml:space="preserve">[9] Su, W.P.; Schrieffer, J.R.; Heeger, A.J. Solitons in polyacetylene. Phys. Rev. Lett. 1979, 42, 1698. DOI: 10.1103/PhysRevLett.42.1698</w:t>
      </w:r>
    </w:p>
    <w:p>
      <w:pPr>
        <w:pStyle w:val="ListParagraph"/>
        <w:spacing w:before="40" w:after="40"/>
      </w:pPr>
      <w:r>
        <w:rPr>
          <w:rFonts w:ascii="Georgia" w:cs="Georgia" w:eastAsia="Georgia" w:hAnsi="Georgia"/>
          <w:b w:val="false"/>
          <w:bCs w:val="false"/>
          <w:i w:val="false"/>
          <w:iCs w:val="false"/>
          <w:color w:val="111122"/>
          <w:sz w:val="18"/>
          <w:szCs w:val="18"/>
        </w:rPr>
        <w:t xml:space="preserve">[10] Simpson, W.T. Electronic states of organic molecules. J. Chem. Phys. 1948, 16, 1124. DOI: 10.1063/1.1746744</w:t>
      </w:r>
    </w:p>
    <w:p>
      <w:pPr>
        <w:pStyle w:val="ListParagraph"/>
        <w:spacing w:before="40" w:after="40"/>
      </w:pPr>
      <w:r>
        <w:rPr>
          <w:rFonts w:ascii="Georgia" w:cs="Georgia" w:eastAsia="Georgia" w:hAnsi="Georgia"/>
          <w:b w:val="false"/>
          <w:bCs w:val="false"/>
          <w:i w:val="false"/>
          <w:iCs w:val="false"/>
          <w:color w:val="111122"/>
          <w:sz w:val="18"/>
          <w:szCs w:val="18"/>
        </w:rPr>
        <w:t xml:space="preserve">[11] Hehre, W.J.; Ditchfield, R.; Pople, J.A. Self-consistent molecular-orbital methods. XII. Further extensions of Gaussian-type basis sets for use in molecular-orbital studies of organic molecules. J. Chem. Phys. 1972, 56, 2257. DOI: 10.1063/1.1677527</w:t>
      </w:r>
    </w:p>
    <w:p>
      <w:pPr>
        <w:pStyle w:val="ListParagraph"/>
        <w:spacing w:before="40" w:after="40"/>
      </w:pPr>
      <w:r>
        <w:rPr>
          <w:rFonts w:ascii="Georgia" w:cs="Georgia" w:eastAsia="Georgia" w:hAnsi="Georgia"/>
          <w:b w:val="false"/>
          <w:bCs w:val="false"/>
          <w:i w:val="false"/>
          <w:iCs w:val="false"/>
          <w:color w:val="111122"/>
          <w:sz w:val="18"/>
          <w:szCs w:val="18"/>
        </w:rPr>
        <w:t xml:space="preserve">[12] Neese, F. Software update: The ORCA program system, version 5.0. WIREs Comput. Mol. Sci. 2022, 12, e1606. DOI: 10.1002/wcms.1606 [Version 6.1.1 used in this work]</w:t>
      </w:r>
    </w:p>
    <w:p>
      <w:pPr>
        <w:pStyle w:val="ListParagraph"/>
        <w:spacing w:before="40" w:after="40"/>
      </w:pPr>
      <w:r>
        <w:rPr>
          <w:rFonts w:ascii="Georgia" w:cs="Georgia" w:eastAsia="Georgia" w:hAnsi="Georgia"/>
          <w:b w:val="false"/>
          <w:bCs w:val="false"/>
          <w:i w:val="false"/>
          <w:iCs w:val="false"/>
          <w:color w:val="111122"/>
          <w:sz w:val="18"/>
          <w:szCs w:val="18"/>
        </w:rPr>
        <w:t xml:space="preserve">[13] Berry, M.V. Quantal phase factors accompanying adiabatic changes. Proc. R. Soc. A 1984, 392, 45–57. DOI: 10.1098/rspa.1984.0023</w:t>
      </w:r>
    </w:p>
    <w:p>
      <w:pPr>
        <w:pStyle w:val="ListParagraph"/>
        <w:spacing w:before="40" w:after="40"/>
      </w:pPr>
      <w:r>
        <w:rPr>
          <w:rFonts w:ascii="Georgia" w:cs="Georgia" w:eastAsia="Georgia" w:hAnsi="Georgia"/>
          <w:b w:val="false"/>
          <w:bCs w:val="false"/>
          <w:i w:val="false"/>
          <w:iCs w:val="false"/>
          <w:color w:val="111122"/>
          <w:sz w:val="18"/>
          <w:szCs w:val="18"/>
        </w:rPr>
        <w:t xml:space="preserve">[14] Oliveros Gómez, S. Musica Universalis: CPCS Framework and Cyanine DFT Study. musicauniversalis.band, 2026 (preprint/dataset).</w:t>
      </w:r>
    </w:p>
    <w:p>
      <w:pPr>
        <w:spacing w:before="120" w:after="0"/>
        <w:jc w:val="both"/>
      </w:pPr>
      <w:r>
        <w:rPr>
          <w:rFonts w:ascii="Georgia" w:cs="Georgia" w:eastAsia="Georgia" w:hAnsi="Georgia"/>
          <w:b w:val="false"/>
          <w:bCs w:val="false"/>
          <w:i w:val="false"/>
          <w:iCs w:val="false"/>
          <w:color w:val="111122"/>
          <w:sz w:val="21"/>
          <w:szCs w:val="21"/>
        </w:rPr>
        <w:t xml:space="preserve"/>
      </w:r>
    </w:p>
    <w:p>
      <w:pPr>
        <w:spacing w:before="120" w:after="0"/>
        <w:jc w:val="center"/>
      </w:pPr>
      <w:r>
        <w:rPr>
          <w:rFonts w:ascii="Georgia" w:cs="Georgia" w:hAnsi="Georgia"/>
          <w:i/>
          <w:color w:val="888888"/>
          <w:sz w:val="17"/>
        </w:rPr>
        <w:t xml:space="preserve">Project Orpheus · musicauniversalis.band · March 2026</w:t>
      </w:r>
    </w:p>
    <w:sectPr>
      <w:headerReference w:type="default" r:id="rId6"/>
      <w:footerReference w:type="default" r:id="rId7"/>
      <w:pgSz w:w="12240" w:h="15840" w:orient="portrait"/>
      <w:pgMar w:top="1296" w:right="1188" w:bottom="1296" w:left="118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spacing w:before="60" w:after="0"/>
      <w:jc w:val="center"/>
    </w:pPr>
    <w:r>
      <w:rPr>
        <w:rFonts w:ascii="Courier New" w:cs="Courier New" w:eastAsia="Courier New" w:hAnsi="Courier New"/>
        <w:color w:val="666677"/>
        <w:sz w:val="17"/>
        <w:szCs w:val="17"/>
      </w:rPr>
      <w:t xml:space="preserve">δ_PC = 0.013643  ·  BLĀ = 3.685δ  ·  musicauniversalis.band  ·  p. </w:t>
    </w:r>
    <w:r>
      <w:rPr>
        <w:rFonts w:ascii="Courier New" w:cs="Courier New" w:eastAsia="Courier New" w:hAnsi="Courier New"/>
        <w:color w:val="6666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spacing w:before="0" w:after="80"/>
    </w:pPr>
    <w:r>
      <w:rPr>
        <w:rFonts w:ascii="Courier New" w:cs="Courier New" w:eastAsia="Courier New" w:hAnsi="Courier New"/>
        <w:color w:val="444455"/>
        <w:spacing w:val="40"/>
        <w:sz w:val="17"/>
        <w:szCs w:val="17"/>
      </w:rPr>
      <w:t xml:space="preserve">Oliveros Gómez, S.  ·  Bond Length Alternation in Near-IR Cyanine Dyes  ·  CAM-B3LYP/6-31G* / ORCA 6.1.1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sz w:val="21"/>
        <w:szCs w:val="21"/>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B8860B" w:sz="6" w:space="4"/>
      </w:pBdr>
      <w:spacing w:before="280" w:after="100"/>
      <w:outlineLvl w:val="0"/>
    </w:pPr>
    <w:rPr>
      <w:rFonts w:ascii="Georgia" w:cs="Georgia" w:eastAsia="Georgia" w:hAnsi="Georgia"/>
      <w:b/>
      <w:bCs/>
      <w:caps/>
      <w:color w:val="0D1828"/>
      <w:sz w:val="34"/>
      <w:szCs w:val="34"/>
    </w:rPr>
  </w:style>
  <w:style w:type="paragraph" w:styleId="Heading2">
    <w:name w:val="Heading 2"/>
    <w:basedOn w:val="Normal"/>
    <w:next w:val="Normal"/>
    <w:qFormat/>
    <w:pPr>
      <w:spacing w:before="180" w:after="80"/>
      <w:outlineLvl w:val="1"/>
    </w:pPr>
    <w:rPr>
      <w:rFonts w:ascii="Georgia" w:cs="Georgia" w:eastAsia="Georgia" w:hAnsi="Georgia"/>
      <w:b/>
      <w:bCs/>
      <w:color w:val="0A5F6A"/>
      <w:sz w:val="26"/>
      <w:szCs w:val="26"/>
    </w:rPr>
  </w:style>
  <w:style w:type="paragraph" w:styleId="Heading3">
    <w:name w:val="Heading 3"/>
    <w:basedOn w:val="Normal"/>
    <w:next w:val="Normal"/>
    <w:qFormat/>
    <w:pPr>
      <w:spacing w:before="140" w:after="60"/>
      <w:outlineLvl w:val="2"/>
    </w:pPr>
    <w:rPr>
      <w:rFonts w:ascii="Courier New" w:cs="Courier New" w:eastAsia="Courier New" w:hAnsi="Courier New"/>
      <w:b/>
      <w:bCs/>
      <w:color w:val="00666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4a471f35ab5ac010f59ff6b9c61fdb8c4cdda4a.png"/><Relationship Id="rId9" Type="http://schemas.openxmlformats.org/officeDocument/2006/relationships/image" Target="media/d30833d718171950ecceed63624168188edaa46c.png"/><Relationship Id="rId10" Type="http://schemas.openxmlformats.org/officeDocument/2006/relationships/image" Target="media/90b8f20ee9590df6184557e1ae220df8263e68db.png"/><Relationship Id="rId11" Type="http://schemas.openxmlformats.org/officeDocument/2006/relationships/image" Target="media/e236e21f262c0ef30a8e656f731a848190d4d500.png"/><Relationship Id="rId12" Type="http://schemas.openxmlformats.org/officeDocument/2006/relationships/image" Target="media/f819f8c518ba15d633540d12c1e5a2fb709b7283.png"/><Relationship Id="rId13" Type="http://schemas.openxmlformats.org/officeDocument/2006/relationships/image" Target="media/2bf800ba502e2e3daa75791c2442f2f248b8e835.png"/><Relationship Id="rId14" Type="http://schemas.openxmlformats.org/officeDocument/2006/relationships/image" Target="media/ae8b71ec79ec05722c2d93e360c41b31723797ae.png"/><Relationship Id="rId15" Type="http://schemas.openxmlformats.org/officeDocument/2006/relationships/image" Target="media/b442b7a08ebefefe396e1fa31e0c345a6bf9dcb9.png"/><Relationship Id="rId16" Type="http://schemas.openxmlformats.org/officeDocument/2006/relationships/image" Target="media/e1770b5a62eb64b784d5153f569600b015c1c6b4.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2026-03-21T20:39:21.966Z</dcterms:created>
  <dcterms:modified xsi:type="dcterms:W3CDTF">2026-03-21T20:39:21.967Z</dcterms:modified>
</cp:coreProperties>
</file>

<file path=docProps/custom.xml><?xml version="1.0" encoding="utf-8"?>
<Properties xmlns="http://schemas.openxmlformats.org/officeDocument/2006/custom-properties" xmlns:vt="http://schemas.openxmlformats.org/officeDocument/2006/docPropsVTypes"/>
</file>