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8-16-2019</w:t>
            </w:r>
          </w:p>
        </w:tc>
        <w:tc>
          <w:tcPr>
            <w:tcW w:w="7088" w:type="dxa"/>
          </w:tcPr>
          <w:p>
            <w:r>
              <w:t>JST or AU course for which Credit/Equivalency is sought:</w:t>
              <w:br/>
              <w:t>A-830-0030 - Expeditionary Combat Skills</w:t>
              <w:br/>
              <w:t>Upon completion of the course, the student will be able to perform basic first aid, land navigation, military communications, firearm safety, accomplish high-risk security operations; identify and safely handle counter-improvised explosive devices; perform basic movement while engaging targets and exercising judgment-based engagement training; demonstrate knowledge of combat mind set, chemical, biological, radiological and nuclear training.</w:t>
            </w:r>
          </w:p>
        </w:tc>
      </w:tr>
      <w:tr w:rsidR="00015A1F" w14:paraId="203BE164" w14:textId="77777777" w:rsidTr="00B67752">
        <w:tc>
          <w:tcPr>
            <w:tcW w:w="3077" w:type="dxa"/>
          </w:tcPr>
          <w:p>
            <w:r>
              <w:t>Evaluator Name:</w:t>
              <w:br/>
              <w:t>Nick Juday</w:t>
              <w:br/>
              <w:t>Department:</w:t>
              <w:br/>
              <w:t>HHP</w:t>
            </w:r>
          </w:p>
        </w:tc>
        <w:tc>
          <w:tcPr>
            <w:tcW w:w="7088" w:type="dxa"/>
          </w:tcPr>
          <w:p>
            <w:r>
              <w:t>Olivet College course being considered for possible equivalency:</w:t>
              <w:br/>
              <w:t>PE 107 - First Aid</w:t>
              <w:br/>
              <w:t>The guidelines of the American Red Cross will be followed in providing certification in Standard First Aid Cardio-Pulmonary Resuscitation (adult/child/infant) Automated External Defibrillators (AEDs) and preventing disease transmission. American Red Cross certification will awarded to students completing the necessary requirements.</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ways to prevent injury and / or illness.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head and spine treatment</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Provide basic care for an injury and / or sudden illness until the victim can receive professional medical help, including CPR skills for the adult, child and infant.</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fractures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Recognize when an emergency has occurred and activate the EMS system.</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casualty care;</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vehicle emergency egress drills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Follow the emergency action steps in any emergency.</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vehicle emergency egress drills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Identify the major body systems to provide appropriate care.</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vehicle emergency egress drills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Exercising judgment-based engagement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Perform basic movements while engaging targets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communication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tactical combat 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firearm safety</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casualty care;</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head and spine treatment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Demonstrate knowledge of combat mind set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infection control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accomplish high risk security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airway management</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field sanitation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control bleeding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disease prevention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Identify and safely handle counter improvised explosive devices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military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Chemical, biological, radiological and nuclear training.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pulse check and blood sweep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burns, environmental injuries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land navigation</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bandaging and splints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fractures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nasopharyngeal breathing</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nuclear, biological, and chemical agents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