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r>
              <w:t>Date of Initiation:</w:t>
              <w:br/>
              <w:t>6-5-2019</w:t>
            </w:r>
          </w:p>
        </w:tc>
        <w:tc>
          <w:tcPr>
            <w:tcW w:w="7088" w:type="dxa"/>
            <w:gridSpan w:val="5"/>
          </w:tcPr>
          <w:p>
            <w:r>
              <w:t>JST or AU course for which Credit/Equivalency is sought:</w:t>
              <w:br/>
              <w:t>A-830-0030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9D33D1" w14:paraId="3AECE4A9" w14:textId="77777777" w:rsidTr="00A75624">
        <w:tc>
          <w:tcPr>
            <w:tcW w:w="3077" w:type="dxa"/>
          </w:tcPr>
          <w:p>
            <w:r>
              <w:t>Evaluator Name:</w:t>
              <w:br/>
              <w:t>Nick Juday</w:t>
              <w:br/>
              <w:t>Department:</w:t>
              <w:br/>
              <w:t>HHP</w:t>
            </w:r>
          </w:p>
        </w:tc>
        <w:tc>
          <w:tcPr>
            <w:tcW w:w="7088" w:type="dxa"/>
            <w:gridSpan w:val="5"/>
          </w:tcPr>
          <w:p>
            <w:r>
              <w:t>Olivet College course being considered for possible equivalency:</w:t>
              <w:br/>
              <w:t>PE 107 First Aid</w:t>
              <w:br/>
              <w:t>The guidelines of the American Red Cross will be followed in providing certification in Standard First Aid Cardio-Pulmonary Resuscitation (adult/child/infant) Automated External Defibrillators (AEDs) and preventing disease transmission. American Red Cross certification will awarded to students completing the necessary requirements.</w:t>
            </w:r>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Follow the emergency action steps in any emergency.</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vehicle emergency egress drills</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t>☐</w:t>
            </w:r>
          </w:p>
        </w:tc>
        <w:tc>
          <w:tcPr>
            <w:tcW w:w="1080" w:type="dxa"/>
            <w:tcBorders>
              <w:top w:val="nil"/>
              <w:bottom w:val="nil" w:sz="4" w:space="0" w:color="auto"/>
            </w:tcBorders>
          </w:tcPr>
          <w:p w14:paraId="37B7C45A" w14:textId="4CEA2BE7" w:rsidR="009D33D1" w:rsidRDefault="009D33D1">
            <w:pPr>
              <w:spacing w:after="0" w:line="240" w:lineRule="exact"/>
              <w:jc w:val="center"/>
            </w:pPr>
            <w:r>
              <w:rPr>
                <w:color w:val="D3D3D3"/>
              </w:rP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Identify the major body systems to provide appropriate care.</w:t>
            </w:r>
          </w:p>
        </w:tc>
        <w:tc>
          <w:tcPr>
            <w:tcW w:type="dxa" w:w="2767"/>
            <w:tcBorders>
              <w:bottom w:val="nil" w:sz="4" w:space="0" w:color="auto"/>
            </w:tcBorders>
          </w:tcPr>
          <w:p>
            <w:pPr>
              <w:spacing w:line="240" w:lineRule="exact"/>
            </w:pPr>
            <w:r>
              <w:t>head and spine treatment</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Identify ways to prevent injury and / or illness.</w:t>
            </w:r>
          </w:p>
        </w:tc>
        <w:tc>
          <w:tcPr>
            <w:tcW w:type="dxa" w:w="2767"/>
            <w:tcBorders>
              <w:bottom w:val="nil" w:sz="4" w:space="0" w:color="auto"/>
            </w:tcBorders>
          </w:tcPr>
          <w:p>
            <w:pPr>
              <w:spacing w:line="240" w:lineRule="exact"/>
            </w:pPr>
            <w:r>
              <w:t>fractures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Provide basic care for an injury and / or sudden illness until the victim can receive professional medical help, including CPR skills for the adult, child and infant.</w:t>
            </w:r>
          </w:p>
        </w:tc>
        <w:tc>
          <w:tcPr>
            <w:tcW w:type="dxa" w:w="2767"/>
            <w:tcBorders>
              <w:bottom w:val="nil" w:sz="4" w:space="0" w:color="auto"/>
            </w:tcBorders>
          </w:tcPr>
          <w:p>
            <w:pPr>
              <w:spacing w:line="240" w:lineRule="exact"/>
            </w:pPr>
            <w:r>
              <w:t>casualty care;</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Recognize when an emergency has occurred and activate the EMS system.</w:t>
            </w:r>
          </w:p>
        </w:tc>
        <w:tc>
          <w:tcPr>
            <w:tcW w:type="dxa" w:w="2767"/>
            <w:tcBorders>
              <w:bottom w:val="nil" w:sz="4" w:space="0" w:color="auto"/>
            </w:tcBorders>
          </w:tcPr>
          <w:p>
            <w:pPr>
              <w:spacing w:line="240" w:lineRule="exact"/>
            </w:pPr>
            <w:r>
              <w:t>vehicle emergency egress drills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