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AR-1601-0277 Petroleum Supply Specialist</w:t>
              <w:br/>
              <w:t>This course provides students with instruction in bulk petroleum; receiving, storage, and insurance for aviation, waterfront, rail, and inland petroleum distribution; fire supervision; and pipeline supervision.</w:t>
            </w:r>
          </w:p>
        </w:tc>
      </w:tr>
      <w:tr w:rsidR="009D33D1" w14:paraId="3AECE4A9" w14:textId="77777777" w:rsidTr="00A75624">
        <w:tc>
          <w:tcPr>
            <w:tcW w:w="3077" w:type="dxa"/>
          </w:tcPr>
          <w:p>
            <w:r>
              <w:t>Evaluator Name:</w:t>
              <w:br/>
              <w:t>Leah Knapp</w:t>
              <w:br/>
              <w:t>Department:</w:t>
              <w:br/>
              <w:t>DNPS</w:t>
            </w:r>
          </w:p>
        </w:tc>
        <w:tc>
          <w:tcPr>
            <w:tcW w:w="7088" w:type="dxa"/>
            <w:gridSpan w:val="5"/>
          </w:tcPr>
          <w:p>
            <w:r>
              <w:t>Olivet College course being considered for possible equivalency:</w:t>
              <w:br/>
              <w:t>SCI 107 Environmental Science</w:t>
              <w:br/>
              <w:t>A survey of the major environmental issues of today, including pollution, toxic and solid waste, endangered species, habitat destruction and global warming. The course includes scientific, political, social and economic aspects of these issues and emphasizes problem-solving and solutions on a global, national and individual level. Field trips and laboratory exercises are an important part of the learning process.</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Students can demonstrate a multidisciplinary knowledge of environmental issues, including the biological, chemical, economical, and sociological ties.</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ensure maintenance of safety and environmental conditions during operations</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rPr>
                <w:color w:val="D3D3D3"/>
              </w:rPr>
              <w:t>✓</w:t>
            </w:r>
          </w:p>
        </w:tc>
        <w:tc>
          <w:tcPr>
            <w:tcW w:w="1080" w:type="dxa"/>
            <w:tcBorders>
              <w:top w:val="nil"/>
              <w:bottom w:val="nil" w:sz="4" w:space="0" w:color="auto"/>
            </w:tcBorders>
          </w:tcPr>
          <w:p w14:paraId="37B7C45A" w14:textId="4CEA2BE7" w:rsidR="009D33D1" w:rsidRDefault="009D33D1">
            <w:pPr>
              <w:spacing w:after="0" w:line="240" w:lineRule="exact"/>
              <w:jc w:val="center"/>
            </w:pPr>
            <w: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dispense and retrive hose lines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measure particular contamination in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pump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distribute aviation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tanker truck</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manage inventories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Students can demonstrate the appropriate use of primary literature and the application of the scientific method while designing and implementing a data collection tool, organizing and statistically analyzing said data, and presenting the results in professional type-written report.</w:t>
            </w:r>
          </w:p>
        </w:tc>
        <w:tc>
          <w:tcPr>
            <w:tcW w:type="dxa" w:w="2767"/>
            <w:tcBorders>
              <w:bottom w:val="nil" w:sz="4" w:space="0" w:color="auto"/>
            </w:tcBorders>
          </w:tcPr>
          <w:p>
            <w:pPr>
              <w:spacing w:line="240" w:lineRule="exact"/>
            </w:pPr>
            <w:r>
              <w:t>distribute aviation fuel</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dispense and retrive hose lines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manage inventories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measure particular contamination in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ensure maintenance of safety and environmental conditions during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pump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tanker truck</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Students can demonstrate the understanding of the interrelationships between system components, including the cycling between biotic and abiotic factors.</w:t>
            </w:r>
          </w:p>
        </w:tc>
        <w:tc>
          <w:tcPr>
            <w:tcW w:type="dxa" w:w="2767"/>
            <w:tcBorders>
              <w:bottom w:val="nil" w:sz="4" w:space="0" w:color="auto"/>
            </w:tcBorders>
          </w:tcPr>
          <w:p>
            <w:pPr>
              <w:spacing w:line="240" w:lineRule="exact"/>
            </w:pPr>
            <w:r>
              <w:t>dispense and retrive hose lines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distribute aviation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measure particular contamination in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manage inventories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ensure maintenance of safety and environmental conditions during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pump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tanker truck</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Students can model ethical behavior in the field of science and technology.</w:t>
            </w:r>
          </w:p>
        </w:tc>
        <w:tc>
          <w:tcPr>
            <w:tcW w:type="dxa" w:w="2767"/>
            <w:tcBorders>
              <w:bottom w:val="nil" w:sz="4" w:space="0" w:color="auto"/>
            </w:tcBorders>
          </w:tcPr>
          <w:p>
            <w:pPr>
              <w:spacing w:line="240" w:lineRule="exact"/>
            </w:pPr>
            <w:r>
              <w:t>ensure maintenance of safety and environmental conditions during operations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rPr>
                <w:color w:val="D3D3D3"/>
              </w:rPr>
              <w:t>✓</w:t>
            </w:r>
          </w:p>
        </w:tc>
        <w:tc>
          <w:tcPr>
            <w:tcW w:type="dxa" w:w="1080"/>
            <w:tcBorders>
              <w:bottom w:val="nil" w:sz="4" w:space="0" w:color="auto"/>
            </w:tcBorders>
          </w:tcPr>
          <w:p>
            <w:pPr>
              <w:spacing w:line="240" w:lineRule="exact"/>
              <w:jc w:val="center"/>
            </w:pPr>
            <w: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dispense and retrive hose lines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measure particular contamination in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distribute aviation fuel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manage inventories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tanker truck</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operate fuel pump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