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87C" w:rsidRPr="005527EE" w:rsidRDefault="00B1344E">
      <w:pPr>
        <w:spacing w:after="280" w:afterAutospacing="1"/>
        <w:jc w:val="center"/>
      </w:pPr>
      <w:r>
        <w:rPr>
          <w:noProof/>
          <w:lang w:bidi="ar-SA"/>
        </w:rPr>
        <w:drawing>
          <wp:inline distT="0" distB="0" distL="0" distR="0">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p w:rsidR="00FF187C" w:rsidRPr="005527EE" w:rsidRDefault="00B54166">
      <w:r>
        <w:t> </w:t>
      </w:r>
    </w:p>
    <w:p w:rsidR="00FF187C" w:rsidRPr="005527EE" w:rsidRDefault="00B54166">
      <w:pPr>
        <w:pStyle w:val="Heading2"/>
      </w:pPr>
      <w:r w:rsidRPr="005527EE">
        <w:t xml:space="preserve">Kellogg Community College, Battle Creek, </w:t>
      </w:r>
      <w:proofErr w:type="gramStart"/>
      <w:r w:rsidRPr="005527EE">
        <w:t>MI  www.kellogg.edu</w:t>
      </w:r>
      <w:proofErr w:type="gramEnd"/>
    </w:p>
    <w:p w:rsidR="00FF187C" w:rsidRPr="005527EE" w:rsidRDefault="00B54166">
      <w:pPr>
        <w:pStyle w:val="Title"/>
      </w:pPr>
      <w:r w:rsidRPr="005527EE">
        <w:t>NURS 276 Psychosocial Integrity Syllabus</w:t>
      </w:r>
    </w:p>
    <w:p w:rsidR="00FF187C" w:rsidRPr="005527EE" w:rsidRDefault="00B54166">
      <w:pPr>
        <w:pStyle w:val="Heading3"/>
      </w:pPr>
      <w:r w:rsidRPr="005527EE">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356E5C">
        <w:tc>
          <w:tcPr>
            <w:tcW w:w="2000" w:type="dxa"/>
            <w:tcBorders>
              <w:top w:val="nil"/>
              <w:left w:val="nil"/>
              <w:bottom w:val="nil"/>
              <w:right w:val="nil"/>
            </w:tcBorders>
          </w:tcPr>
          <w:p w:rsidR="00FF187C" w:rsidRPr="005527EE" w:rsidRDefault="00B54166">
            <w:pPr>
              <w:pStyle w:val="Heading4"/>
            </w:pPr>
            <w:r w:rsidRPr="005527EE">
              <w:t>Instructor Name</w:t>
            </w:r>
          </w:p>
        </w:tc>
        <w:tc>
          <w:tcPr>
            <w:tcW w:w="8900" w:type="dxa"/>
            <w:tcBorders>
              <w:top w:val="nil"/>
              <w:left w:val="nil"/>
              <w:bottom w:val="nil"/>
              <w:right w:val="nil"/>
            </w:tcBorders>
          </w:tcPr>
          <w:p w:rsidR="00FF187C" w:rsidRPr="005527EE" w:rsidRDefault="00FF187C">
            <w:bookmarkStart w:id="0" w:name="_GoBack"/>
            <w:bookmarkEnd w:id="0"/>
          </w:p>
        </w:tc>
      </w:tr>
      <w:tr w:rsidR="00356E5C">
        <w:tc>
          <w:tcPr>
            <w:tcW w:w="2000" w:type="dxa"/>
            <w:tcBorders>
              <w:top w:val="nil"/>
              <w:left w:val="nil"/>
              <w:bottom w:val="nil"/>
              <w:right w:val="nil"/>
            </w:tcBorders>
          </w:tcPr>
          <w:p w:rsidR="00FF187C" w:rsidRPr="005527EE" w:rsidRDefault="00B54166">
            <w:pPr>
              <w:pStyle w:val="Heading4"/>
            </w:pPr>
            <w:r w:rsidRPr="005527EE">
              <w:t>Email</w:t>
            </w:r>
          </w:p>
        </w:tc>
        <w:tc>
          <w:tcPr>
            <w:tcW w:w="8900" w:type="dxa"/>
            <w:tcBorders>
              <w:top w:val="nil"/>
              <w:left w:val="nil"/>
              <w:bottom w:val="nil"/>
              <w:right w:val="nil"/>
            </w:tcBorders>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Phone</w:t>
            </w:r>
          </w:p>
        </w:tc>
        <w:tc>
          <w:tcPr>
            <w:tcW w:w="8900" w:type="dxa"/>
            <w:tcBorders>
              <w:top w:val="nil"/>
              <w:left w:val="nil"/>
              <w:bottom w:val="nil"/>
              <w:right w:val="nil"/>
            </w:tcBorders>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Office Location</w:t>
            </w:r>
          </w:p>
        </w:tc>
        <w:tc>
          <w:tcPr>
            <w:tcW w:w="8900" w:type="dxa"/>
            <w:tcBorders>
              <w:top w:val="nil"/>
              <w:left w:val="nil"/>
              <w:bottom w:val="nil"/>
              <w:right w:val="nil"/>
            </w:tcBorders>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Office Hours</w:t>
            </w:r>
          </w:p>
        </w:tc>
        <w:tc>
          <w:tcPr>
            <w:tcW w:w="8900" w:type="dxa"/>
            <w:tcBorders>
              <w:top w:val="nil"/>
              <w:left w:val="nil"/>
              <w:bottom w:val="nil"/>
              <w:right w:val="nil"/>
            </w:tcBorders>
            <w:tcMar>
              <w:bottom w:w="120" w:type="dxa"/>
            </w:tcMar>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Section Number</w:t>
            </w:r>
          </w:p>
        </w:tc>
        <w:tc>
          <w:tcPr>
            <w:tcW w:w="8900" w:type="dxa"/>
            <w:tcBorders>
              <w:top w:val="nil"/>
              <w:left w:val="nil"/>
              <w:bottom w:val="nil"/>
              <w:right w:val="nil"/>
            </w:tcBorders>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Start Date</w:t>
            </w:r>
          </w:p>
        </w:tc>
        <w:tc>
          <w:tcPr>
            <w:tcW w:w="8900" w:type="dxa"/>
            <w:tcBorders>
              <w:top w:val="nil"/>
              <w:left w:val="nil"/>
              <w:bottom w:val="nil"/>
              <w:right w:val="nil"/>
            </w:tcBorders>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End Date</w:t>
            </w:r>
          </w:p>
        </w:tc>
        <w:tc>
          <w:tcPr>
            <w:tcW w:w="8900" w:type="dxa"/>
            <w:tcBorders>
              <w:top w:val="nil"/>
              <w:left w:val="nil"/>
              <w:bottom w:val="nil"/>
              <w:right w:val="nil"/>
            </w:tcBorders>
          </w:tcPr>
          <w:p w:rsidR="00FF187C" w:rsidRPr="005527EE" w:rsidRDefault="00FF187C"/>
        </w:tc>
      </w:tr>
      <w:tr w:rsidR="00356E5C">
        <w:tc>
          <w:tcPr>
            <w:tcW w:w="2000" w:type="dxa"/>
            <w:tcBorders>
              <w:top w:val="nil"/>
              <w:left w:val="nil"/>
              <w:bottom w:val="nil"/>
              <w:right w:val="nil"/>
            </w:tcBorders>
          </w:tcPr>
          <w:p w:rsidR="00FF187C" w:rsidRPr="005527EE" w:rsidRDefault="00B54166">
            <w:pPr>
              <w:pStyle w:val="Heading4"/>
            </w:pPr>
            <w:r w:rsidRPr="005527EE">
              <w:t>Meeting Times</w:t>
            </w:r>
          </w:p>
        </w:tc>
        <w:tc>
          <w:tcPr>
            <w:tcW w:w="8900" w:type="dxa"/>
            <w:tcBorders>
              <w:top w:val="nil"/>
              <w:left w:val="nil"/>
              <w:bottom w:val="nil"/>
              <w:right w:val="nil"/>
            </w:tcBorders>
          </w:tcPr>
          <w:p w:rsidR="00FF187C" w:rsidRPr="005527EE" w:rsidRDefault="00FF187C"/>
        </w:tc>
      </w:tr>
      <w:tr w:rsidR="00356E5C" w:rsidTr="000C2ADB">
        <w:trPr>
          <w:trHeight w:val="80"/>
        </w:trPr>
        <w:tc>
          <w:tcPr>
            <w:tcW w:w="2000" w:type="dxa"/>
            <w:tcBorders>
              <w:top w:val="nil"/>
              <w:left w:val="nil"/>
              <w:bottom w:val="nil"/>
              <w:right w:val="nil"/>
            </w:tcBorders>
          </w:tcPr>
          <w:p w:rsidR="00FF187C" w:rsidRPr="005527EE" w:rsidRDefault="00B54166">
            <w:pPr>
              <w:pStyle w:val="Heading4"/>
            </w:pPr>
            <w:r w:rsidRPr="005527EE">
              <w:t>Location</w:t>
            </w:r>
          </w:p>
        </w:tc>
        <w:tc>
          <w:tcPr>
            <w:tcW w:w="8900" w:type="dxa"/>
            <w:tcBorders>
              <w:top w:val="nil"/>
              <w:left w:val="nil"/>
              <w:bottom w:val="nil"/>
              <w:right w:val="nil"/>
            </w:tcBorders>
          </w:tcPr>
          <w:p w:rsidR="00FF187C" w:rsidRPr="005527EE" w:rsidRDefault="00FF187C"/>
        </w:tc>
      </w:tr>
      <w:tr w:rsidR="00356E5C" w:rsidTr="000C2ADB">
        <w:trPr>
          <w:trHeight w:val="80"/>
        </w:trPr>
        <w:tc>
          <w:tcPr>
            <w:tcW w:w="2000" w:type="dxa"/>
            <w:tcBorders>
              <w:top w:val="nil"/>
              <w:left w:val="nil"/>
              <w:bottom w:val="nil"/>
              <w:right w:val="nil"/>
            </w:tcBorders>
          </w:tcPr>
          <w:p w:rsidR="00FF187C" w:rsidRPr="005527EE" w:rsidRDefault="00B54166">
            <w:pPr>
              <w:pStyle w:val="Heading4"/>
            </w:pPr>
            <w:r w:rsidRPr="005527EE">
              <w:t>Course Website</w:t>
            </w:r>
          </w:p>
        </w:tc>
        <w:tc>
          <w:tcPr>
            <w:tcW w:w="8900" w:type="dxa"/>
          </w:tcPr>
          <w:p w:rsidR="00FF187C" w:rsidRPr="005527EE" w:rsidRDefault="007746DB">
            <w:hyperlink r:id="rId9" w:history="1">
              <w:r w:rsidR="00B54166" w:rsidRPr="005527EE">
                <w:t>Moodle</w:t>
              </w:r>
            </w:hyperlink>
          </w:p>
        </w:tc>
      </w:tr>
    </w:tbl>
    <w:p w:rsidR="00FF187C" w:rsidRPr="005527EE" w:rsidRDefault="00B54166">
      <w:pPr>
        <w:pStyle w:val="Heading3"/>
      </w:pPr>
      <w:r w:rsidRPr="005527EE">
        <w:t>Course Information</w:t>
      </w:r>
    </w:p>
    <w:tbl>
      <w:tblPr>
        <w:tblW w:w="0" w:type="auto"/>
        <w:tblLayout w:type="fixed"/>
        <w:tblLook w:val="04A0" w:firstRow="1" w:lastRow="0" w:firstColumn="1" w:lastColumn="0" w:noHBand="0" w:noVBand="1"/>
      </w:tblPr>
      <w:tblGrid>
        <w:gridCol w:w="2000"/>
        <w:gridCol w:w="8900"/>
      </w:tblGrid>
      <w:tr w:rsidR="00356E5C">
        <w:tc>
          <w:tcPr>
            <w:tcW w:w="2000" w:type="dxa"/>
          </w:tcPr>
          <w:p w:rsidR="00FF187C" w:rsidRPr="005527EE" w:rsidRDefault="00B54166">
            <w:pPr>
              <w:pStyle w:val="Heading4"/>
            </w:pPr>
            <w:r w:rsidRPr="005527EE">
              <w:t>Course Number</w:t>
            </w:r>
          </w:p>
        </w:tc>
        <w:tc>
          <w:tcPr>
            <w:tcW w:w="8900" w:type="dxa"/>
          </w:tcPr>
          <w:p w:rsidR="00FF187C" w:rsidRPr="005527EE" w:rsidRDefault="00B54166">
            <w:r w:rsidRPr="005527EE">
              <w:t>NURS 276</w:t>
            </w:r>
          </w:p>
        </w:tc>
      </w:tr>
      <w:tr w:rsidR="00356E5C">
        <w:tc>
          <w:tcPr>
            <w:tcW w:w="2000" w:type="dxa"/>
          </w:tcPr>
          <w:p w:rsidR="00FF187C" w:rsidRPr="005527EE" w:rsidRDefault="00B54166">
            <w:pPr>
              <w:pStyle w:val="Heading4"/>
            </w:pPr>
            <w:r w:rsidRPr="005527EE">
              <w:t>Course Title</w:t>
            </w:r>
          </w:p>
        </w:tc>
        <w:tc>
          <w:tcPr>
            <w:tcW w:w="8900" w:type="dxa"/>
          </w:tcPr>
          <w:p w:rsidR="00FF187C" w:rsidRPr="005527EE" w:rsidRDefault="00B54166">
            <w:r w:rsidRPr="005527EE">
              <w:t>Psychosocial Integrity</w:t>
            </w:r>
          </w:p>
        </w:tc>
      </w:tr>
      <w:tr w:rsidR="00356E5C">
        <w:tc>
          <w:tcPr>
            <w:tcW w:w="10900" w:type="dxa"/>
            <w:gridSpan w:val="2"/>
          </w:tcPr>
          <w:p w:rsidR="00FF187C" w:rsidRPr="005527EE" w:rsidRDefault="00B54166">
            <w:pPr>
              <w:pStyle w:val="Heading4"/>
            </w:pPr>
            <w:r w:rsidRPr="005527EE">
              <w:t>Course Description</w:t>
            </w:r>
          </w:p>
        </w:tc>
      </w:tr>
      <w:tr w:rsidR="00356E5C">
        <w:tc>
          <w:tcPr>
            <w:tcW w:w="10900" w:type="dxa"/>
            <w:gridSpan w:val="2"/>
            <w:tcMar>
              <w:bottom w:w="120" w:type="dxa"/>
            </w:tcMar>
          </w:tcPr>
          <w:p w:rsidR="00FF187C" w:rsidRPr="005527EE" w:rsidRDefault="00B54166">
            <w:r>
              <w:t>This course is designed to introduce the student to the therapeutic environment providing support to clients, through the life span, with various behavioral disorders. Emphasis will be on communication skills, caring, and providing a safe environment. Clinical experience is provided in various community mental health agencies.</w:t>
            </w:r>
          </w:p>
        </w:tc>
      </w:tr>
      <w:tr w:rsidR="00356E5C">
        <w:tblPrEx>
          <w:tblBorders>
            <w:top w:val="nil"/>
            <w:left w:val="nil"/>
            <w:bottom w:val="nil"/>
            <w:right w:val="nil"/>
            <w:insideH w:val="nil"/>
            <w:insideV w:val="nil"/>
          </w:tblBorders>
        </w:tblPrEx>
        <w:tc>
          <w:tcPr>
            <w:tcW w:w="2000" w:type="dxa"/>
            <w:tcBorders>
              <w:top w:val="nil"/>
              <w:left w:val="nil"/>
              <w:bottom w:val="nil"/>
              <w:right w:val="nil"/>
            </w:tcBorders>
          </w:tcPr>
          <w:p w:rsidR="00FF187C" w:rsidRPr="005527EE" w:rsidRDefault="00B54166">
            <w:pPr>
              <w:pStyle w:val="Heading4"/>
            </w:pPr>
            <w:r w:rsidRPr="005527EE">
              <w:t>Total Credits</w:t>
            </w:r>
          </w:p>
        </w:tc>
        <w:tc>
          <w:tcPr>
            <w:tcW w:w="8900" w:type="dxa"/>
            <w:tcBorders>
              <w:top w:val="nil"/>
              <w:left w:val="nil"/>
              <w:bottom w:val="nil"/>
              <w:right w:val="nil"/>
            </w:tcBorders>
          </w:tcPr>
          <w:p w:rsidR="00FF187C" w:rsidRPr="005527EE" w:rsidRDefault="00B54166">
            <w:r w:rsidRPr="005527EE">
              <w:t>5.00</w:t>
            </w:r>
          </w:p>
        </w:tc>
      </w:tr>
      <w:tr w:rsidR="00356E5C">
        <w:tblPrEx>
          <w:tblBorders>
            <w:top w:val="nil"/>
            <w:left w:val="nil"/>
            <w:bottom w:val="nil"/>
            <w:right w:val="nil"/>
            <w:insideH w:val="nil"/>
            <w:insideV w:val="nil"/>
          </w:tblBorders>
        </w:tblPrEx>
        <w:tc>
          <w:tcPr>
            <w:tcW w:w="2000" w:type="dxa"/>
            <w:tcBorders>
              <w:top w:val="nil"/>
              <w:left w:val="nil"/>
              <w:bottom w:val="nil"/>
              <w:right w:val="nil"/>
            </w:tcBorders>
          </w:tcPr>
          <w:p w:rsidR="00FF187C" w:rsidRPr="005527EE" w:rsidRDefault="00B54166">
            <w:pPr>
              <w:pStyle w:val="Heading4"/>
            </w:pPr>
            <w:r w:rsidRPr="005527EE">
              <w:t>Total Hours</w:t>
            </w:r>
          </w:p>
        </w:tc>
        <w:tc>
          <w:tcPr>
            <w:tcW w:w="8900" w:type="dxa"/>
            <w:tcBorders>
              <w:top w:val="nil"/>
              <w:left w:val="nil"/>
              <w:bottom w:val="nil"/>
              <w:right w:val="nil"/>
            </w:tcBorders>
          </w:tcPr>
          <w:p w:rsidR="00FF187C" w:rsidRPr="005527EE" w:rsidRDefault="00B54166">
            <w:r w:rsidRPr="005527EE">
              <w:t>144.00</w:t>
            </w:r>
          </w:p>
        </w:tc>
      </w:tr>
    </w:tbl>
    <w:p w:rsidR="00FF187C" w:rsidRPr="005527EE" w:rsidRDefault="00B54166">
      <w:pPr>
        <w:pStyle w:val="Heading7"/>
      </w:pPr>
      <w:r w:rsidRPr="005527EE">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356E5C">
        <w:tc>
          <w:tcPr>
            <w:tcW w:w="8400" w:type="dxa"/>
            <w:tcBorders>
              <w:top w:val="nil"/>
              <w:left w:val="nil"/>
              <w:bottom w:val="nil"/>
              <w:right w:val="nil"/>
            </w:tcBorders>
          </w:tcPr>
          <w:p w:rsidR="00FF187C" w:rsidRPr="005527EE" w:rsidRDefault="00B54166">
            <w:pPr>
              <w:pStyle w:val="Heading4"/>
            </w:pPr>
            <w:r w:rsidRPr="005527EE">
              <w:t>Instruction Type</w:t>
            </w:r>
          </w:p>
        </w:tc>
        <w:tc>
          <w:tcPr>
            <w:tcW w:w="1700" w:type="dxa"/>
            <w:tcBorders>
              <w:top w:val="nil"/>
              <w:left w:val="nil"/>
              <w:bottom w:val="nil"/>
              <w:right w:val="nil"/>
            </w:tcBorders>
          </w:tcPr>
          <w:p w:rsidR="00FF187C" w:rsidRPr="005527EE" w:rsidRDefault="00B54166">
            <w:pPr>
              <w:pStyle w:val="Heading4"/>
            </w:pPr>
            <w:r w:rsidRPr="005527EE">
              <w:t>Credits/Hours</w:t>
            </w:r>
          </w:p>
        </w:tc>
      </w:tr>
      <w:tr w:rsidR="00356E5C">
        <w:tc>
          <w:tcPr>
            <w:tcW w:w="8400" w:type="dxa"/>
            <w:tcBorders>
              <w:top w:val="nil"/>
              <w:left w:val="nil"/>
              <w:bottom w:val="nil"/>
              <w:right w:val="nil"/>
            </w:tcBorders>
          </w:tcPr>
          <w:p w:rsidR="00FF187C" w:rsidRPr="005527EE" w:rsidRDefault="00B54166">
            <w:r w:rsidRPr="005527EE">
              <w:t>Classroom Presentation</w:t>
            </w:r>
          </w:p>
        </w:tc>
        <w:tc>
          <w:tcPr>
            <w:tcW w:w="1700" w:type="dxa"/>
            <w:tcBorders>
              <w:top w:val="nil"/>
              <w:left w:val="nil"/>
              <w:bottom w:val="nil"/>
              <w:right w:val="nil"/>
            </w:tcBorders>
          </w:tcPr>
          <w:p w:rsidR="00FF187C" w:rsidRPr="005527EE" w:rsidRDefault="00B54166">
            <w:r w:rsidRPr="005527EE">
              <w:t>3 Credit/48 Lecture Hours</w:t>
            </w:r>
          </w:p>
        </w:tc>
      </w:tr>
      <w:tr w:rsidR="00356E5C">
        <w:tc>
          <w:tcPr>
            <w:tcW w:w="8400" w:type="dxa"/>
            <w:tcBorders>
              <w:top w:val="nil"/>
              <w:left w:val="nil"/>
              <w:bottom w:val="nil"/>
              <w:right w:val="nil"/>
            </w:tcBorders>
          </w:tcPr>
          <w:p w:rsidR="00FF187C" w:rsidRPr="005527EE" w:rsidRDefault="00B54166">
            <w:r w:rsidRPr="005527EE">
              <w:t>Clinical</w:t>
            </w:r>
          </w:p>
        </w:tc>
        <w:tc>
          <w:tcPr>
            <w:tcW w:w="1700" w:type="dxa"/>
            <w:tcBorders>
              <w:top w:val="nil"/>
              <w:left w:val="nil"/>
              <w:bottom w:val="nil"/>
              <w:right w:val="nil"/>
            </w:tcBorders>
          </w:tcPr>
          <w:p w:rsidR="00FF187C" w:rsidRPr="005527EE" w:rsidRDefault="00B54166">
            <w:r w:rsidRPr="005527EE">
              <w:t>2 Credits/96 Clinical/Lab Hours</w:t>
            </w:r>
          </w:p>
        </w:tc>
      </w:tr>
    </w:tbl>
    <w:p w:rsidR="00FF187C" w:rsidRPr="005527EE" w:rsidRDefault="00B54166">
      <w:pPr>
        <w:pStyle w:val="Heading7"/>
      </w:pPr>
      <w:r w:rsidRPr="005527EE">
        <w:t>Pre/</w:t>
      </w:r>
      <w:proofErr w:type="spellStart"/>
      <w:r w:rsidRPr="005527EE">
        <w:t>Corequisites</w:t>
      </w:r>
      <w:proofErr w:type="spellEnd"/>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900"/>
        <w:gridCol w:w="9000"/>
      </w:tblGrid>
      <w:tr w:rsidR="00356E5C">
        <w:tc>
          <w:tcPr>
            <w:tcW w:w="1900" w:type="dxa"/>
            <w:tcBorders>
              <w:top w:val="nil"/>
              <w:left w:val="nil"/>
              <w:bottom w:val="nil"/>
              <w:right w:val="nil"/>
            </w:tcBorders>
          </w:tcPr>
          <w:p w:rsidR="00FF187C" w:rsidRPr="005527EE" w:rsidRDefault="00B54166">
            <w:r w:rsidRPr="005527EE">
              <w:lastRenderedPageBreak/>
              <w:t>Prerequisite</w:t>
            </w:r>
          </w:p>
        </w:tc>
        <w:tc>
          <w:tcPr>
            <w:tcW w:w="9000" w:type="dxa"/>
            <w:tcBorders>
              <w:top w:val="nil"/>
              <w:left w:val="nil"/>
              <w:bottom w:val="nil"/>
              <w:right w:val="nil"/>
            </w:tcBorders>
          </w:tcPr>
          <w:p w:rsidR="00FF187C" w:rsidRPr="005527EE" w:rsidRDefault="00B54166">
            <w:r w:rsidRPr="005527EE">
              <w:t>Full-Time Program -NURS 141, NURS 150, NURS 155 and NURS 160 (OR) NURS 136 with at least a grade of C.</w:t>
            </w:r>
          </w:p>
        </w:tc>
      </w:tr>
      <w:tr w:rsidR="00356E5C">
        <w:tc>
          <w:tcPr>
            <w:tcW w:w="1900" w:type="dxa"/>
            <w:tcBorders>
              <w:top w:val="nil"/>
              <w:left w:val="nil"/>
              <w:bottom w:val="nil"/>
              <w:right w:val="nil"/>
            </w:tcBorders>
          </w:tcPr>
          <w:p w:rsidR="00FF187C" w:rsidRPr="005527EE" w:rsidRDefault="00B54166">
            <w:r w:rsidRPr="005527EE">
              <w:t>Prerequisite</w:t>
            </w:r>
          </w:p>
        </w:tc>
        <w:tc>
          <w:tcPr>
            <w:tcW w:w="9000" w:type="dxa"/>
            <w:tcBorders>
              <w:top w:val="nil"/>
              <w:left w:val="nil"/>
              <w:bottom w:val="nil"/>
              <w:right w:val="nil"/>
            </w:tcBorders>
          </w:tcPr>
          <w:p w:rsidR="00FF187C" w:rsidRPr="005527EE" w:rsidRDefault="00B54166">
            <w:r w:rsidRPr="005527EE">
              <w:t>Part-Time Program - NURS 141, NURS 150, NURS 155, NURS 160 and NURS 272 (OR) NURS 136 and NURS 272 with at least a grade of C.</w:t>
            </w:r>
          </w:p>
          <w:p w:rsidR="00FF187C" w:rsidRPr="005527EE" w:rsidRDefault="00FF187C"/>
        </w:tc>
      </w:tr>
    </w:tbl>
    <w:p w:rsidR="00FF187C" w:rsidRPr="005527EE" w:rsidRDefault="00B54166">
      <w:pPr>
        <w:pStyle w:val="Heading7"/>
      </w:pPr>
      <w:r w:rsidRPr="005527EE">
        <w:t>Textbooks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100"/>
      </w:tblGrid>
      <w:tr w:rsidR="00356E5C">
        <w:tc>
          <w:tcPr>
            <w:tcW w:w="11100" w:type="dxa"/>
            <w:tcBorders>
              <w:top w:val="nil"/>
              <w:left w:val="nil"/>
              <w:bottom w:val="nil"/>
              <w:right w:val="nil"/>
            </w:tcBorders>
            <w:tcMar>
              <w:bottom w:w="120" w:type="dxa"/>
            </w:tcMar>
          </w:tcPr>
          <w:p w:rsidR="00FF187C" w:rsidRPr="005527EE" w:rsidRDefault="00B54166">
            <w:proofErr w:type="spellStart"/>
            <w:r>
              <w:t>Keltner</w:t>
            </w:r>
            <w:proofErr w:type="spellEnd"/>
            <w:r>
              <w:t xml:space="preserve">, N.L.: </w:t>
            </w:r>
            <w:proofErr w:type="spellStart"/>
            <w:r>
              <w:t>Bostrom</w:t>
            </w:r>
            <w:proofErr w:type="spellEnd"/>
            <w:r>
              <w:t xml:space="preserve">, C.E.: and McGuiness, </w:t>
            </w:r>
            <w:proofErr w:type="gramStart"/>
            <w:r>
              <w:t>T.M..</w:t>
            </w:r>
            <w:proofErr w:type="gramEnd"/>
            <w:r>
              <w:t> </w:t>
            </w:r>
            <w:r>
              <w:rPr>
                <w:i/>
                <w:iCs/>
              </w:rPr>
              <w:t>Psychiatric Nursing</w:t>
            </w:r>
            <w:r>
              <w:t>. Elsevier/Mosby. 2015. </w:t>
            </w:r>
            <w:r>
              <w:rPr>
                <w:b/>
                <w:bCs/>
              </w:rPr>
              <w:t>Edition:</w:t>
            </w:r>
            <w:r>
              <w:t> 7th. </w:t>
            </w:r>
            <w:r>
              <w:rPr>
                <w:b/>
                <w:bCs/>
              </w:rPr>
              <w:t>Pages:</w:t>
            </w:r>
            <w:r>
              <w:t xml:space="preserve"> 540. </w:t>
            </w:r>
            <w:r>
              <w:rPr>
                <w:b/>
                <w:bCs/>
              </w:rPr>
              <w:t>ISBN:</w:t>
            </w:r>
            <w:r w:rsidR="00EB6D07">
              <w:t xml:space="preserve"> 978-0-323-185790</w:t>
            </w:r>
            <w:r>
              <w:t>. </w:t>
            </w:r>
            <w:r>
              <w:rPr>
                <w:b/>
                <w:bCs/>
              </w:rPr>
              <w:t>Source:</w:t>
            </w:r>
            <w:r>
              <w:t xml:space="preserve"> vendor of choice. Required. </w:t>
            </w:r>
          </w:p>
        </w:tc>
      </w:tr>
      <w:tr w:rsidR="00356E5C">
        <w:tc>
          <w:tcPr>
            <w:tcW w:w="11100" w:type="dxa"/>
            <w:tcBorders>
              <w:top w:val="nil"/>
              <w:left w:val="nil"/>
              <w:bottom w:val="nil"/>
              <w:right w:val="nil"/>
            </w:tcBorders>
            <w:tcMar>
              <w:bottom w:w="120" w:type="dxa"/>
            </w:tcMar>
          </w:tcPr>
          <w:p w:rsidR="00FF187C" w:rsidRPr="005527EE" w:rsidRDefault="00B54166">
            <w:proofErr w:type="spellStart"/>
            <w:proofErr w:type="gramStart"/>
            <w:r>
              <w:t>Schultz,J.M</w:t>
            </w:r>
            <w:proofErr w:type="spellEnd"/>
            <w:r>
              <w:t>.</w:t>
            </w:r>
            <w:proofErr w:type="gramEnd"/>
            <w:r>
              <w:t xml:space="preserve">; </w:t>
            </w:r>
            <w:proofErr w:type="spellStart"/>
            <w:r>
              <w:t>Videbeck</w:t>
            </w:r>
            <w:proofErr w:type="spellEnd"/>
            <w:r>
              <w:t>, S.L.. </w:t>
            </w:r>
            <w:r>
              <w:rPr>
                <w:i/>
                <w:iCs/>
              </w:rPr>
              <w:t>Lippincott's Manual of Psychiatric Nursing Care Plans</w:t>
            </w:r>
            <w:r>
              <w:t xml:space="preserve">. Lippincott Williams and </w:t>
            </w:r>
            <w:proofErr w:type="spellStart"/>
            <w:r>
              <w:t>WIlkins</w:t>
            </w:r>
            <w:proofErr w:type="spellEnd"/>
            <w:r>
              <w:t>. 2013. </w:t>
            </w:r>
            <w:r>
              <w:rPr>
                <w:b/>
                <w:bCs/>
              </w:rPr>
              <w:t>Edition:</w:t>
            </w:r>
            <w:r>
              <w:t xml:space="preserve"> 9 </w:t>
            </w:r>
            <w:proofErr w:type="spellStart"/>
            <w:r>
              <w:t>th.</w:t>
            </w:r>
            <w:proofErr w:type="spellEnd"/>
            <w:r>
              <w:t> </w:t>
            </w:r>
            <w:r>
              <w:rPr>
                <w:b/>
                <w:bCs/>
              </w:rPr>
              <w:t>Pages:</w:t>
            </w:r>
            <w:r>
              <w:t xml:space="preserve"> 392. </w:t>
            </w:r>
            <w:r>
              <w:rPr>
                <w:b/>
                <w:bCs/>
              </w:rPr>
              <w:t>ISBN:</w:t>
            </w:r>
            <w:r>
              <w:t xml:space="preserve"> 978-1-60913-694-9. </w:t>
            </w:r>
            <w:r>
              <w:rPr>
                <w:b/>
                <w:bCs/>
              </w:rPr>
              <w:t>Source:</w:t>
            </w:r>
            <w:r>
              <w:t xml:space="preserve"> vendor of choice. Required. </w:t>
            </w:r>
          </w:p>
        </w:tc>
      </w:tr>
      <w:tr w:rsidR="00356E5C">
        <w:tc>
          <w:tcPr>
            <w:tcW w:w="11100" w:type="dxa"/>
            <w:tcBorders>
              <w:top w:val="nil"/>
              <w:left w:val="nil"/>
              <w:bottom w:val="nil"/>
              <w:right w:val="nil"/>
            </w:tcBorders>
            <w:tcMar>
              <w:bottom w:w="120" w:type="dxa"/>
            </w:tcMar>
          </w:tcPr>
          <w:p w:rsidR="00FF187C" w:rsidRPr="005527EE" w:rsidRDefault="00EB6D07" w:rsidP="00EB6D07">
            <w:proofErr w:type="spellStart"/>
            <w:proofErr w:type="gramStart"/>
            <w:r>
              <w:t>Baker,A</w:t>
            </w:r>
            <w:proofErr w:type="spellEnd"/>
            <w:r w:rsidR="00B54166">
              <w:t>.</w:t>
            </w:r>
            <w:proofErr w:type="gramEnd"/>
            <w:r>
              <w:t xml:space="preserve"> </w:t>
            </w:r>
            <w:proofErr w:type="spellStart"/>
            <w:r>
              <w:t>Curtis,C</w:t>
            </w:r>
            <w:proofErr w:type="spellEnd"/>
            <w:r w:rsidR="00B54166">
              <w:t>. </w:t>
            </w:r>
            <w:r w:rsidRPr="00EB6D07">
              <w:rPr>
                <w:i/>
              </w:rPr>
              <w:t>Psychiatric Mental Health Nursing Success: A Q&amp;A Review Applying Critical Thinking to test Taking</w:t>
            </w:r>
            <w:r w:rsidR="00B54166">
              <w:t>. </w:t>
            </w:r>
            <w:proofErr w:type="spellStart"/>
            <w:r>
              <w:t>F.A.Davis</w:t>
            </w:r>
            <w:proofErr w:type="spellEnd"/>
            <w:r>
              <w:t xml:space="preserve"> 2017</w:t>
            </w:r>
            <w:r w:rsidR="00B54166">
              <w:t>. </w:t>
            </w:r>
            <w:r w:rsidR="00B54166">
              <w:rPr>
                <w:b/>
                <w:bCs/>
              </w:rPr>
              <w:t>Edition:</w:t>
            </w:r>
            <w:r w:rsidR="00B54166">
              <w:t xml:space="preserve"> 3rd. </w:t>
            </w:r>
            <w:r w:rsidR="00B54166">
              <w:rPr>
                <w:b/>
                <w:bCs/>
              </w:rPr>
              <w:t>Pages:</w:t>
            </w:r>
            <w:r>
              <w:t xml:space="preserve"> 416</w:t>
            </w:r>
            <w:r w:rsidR="00B54166">
              <w:t>. </w:t>
            </w:r>
            <w:r w:rsidR="00B54166">
              <w:rPr>
                <w:b/>
                <w:bCs/>
              </w:rPr>
              <w:t>ISBN:</w:t>
            </w:r>
            <w:r>
              <w:t xml:space="preserve"> 978-0-8036-6040-3</w:t>
            </w:r>
            <w:r w:rsidR="00B54166">
              <w:t>. </w:t>
            </w:r>
            <w:r w:rsidR="00B54166">
              <w:rPr>
                <w:b/>
                <w:bCs/>
              </w:rPr>
              <w:t>Source:</w:t>
            </w:r>
            <w:r w:rsidR="00B54166">
              <w:t xml:space="preserve"> vendor of choice. Not Required. </w:t>
            </w:r>
            <w:r w:rsidR="00B54166">
              <w:rPr>
                <w:b/>
                <w:bCs/>
              </w:rPr>
              <w:t>Miscellaneous:</w:t>
            </w:r>
            <w:r w:rsidR="00B54166">
              <w:t xml:space="preserve"> This is a suggested textbook which will be used in clinical post </w:t>
            </w:r>
            <w:proofErr w:type="gramStart"/>
            <w:r w:rsidR="00B54166">
              <w:t>conferences..</w:t>
            </w:r>
            <w:proofErr w:type="gramEnd"/>
            <w:r w:rsidR="00B54166">
              <w:t> </w:t>
            </w:r>
          </w:p>
        </w:tc>
      </w:tr>
      <w:tr w:rsidR="00356E5C">
        <w:tc>
          <w:tcPr>
            <w:tcW w:w="11100" w:type="dxa"/>
            <w:tcBorders>
              <w:top w:val="nil"/>
              <w:left w:val="nil"/>
              <w:bottom w:val="nil"/>
              <w:right w:val="nil"/>
            </w:tcBorders>
            <w:tcMar>
              <w:bottom w:w="120" w:type="dxa"/>
            </w:tcMar>
          </w:tcPr>
          <w:p w:rsidR="00FF187C" w:rsidRPr="005527EE" w:rsidRDefault="00B54166">
            <w:r>
              <w:rPr>
                <w:i/>
                <w:iCs/>
              </w:rPr>
              <w:t>KCC Unified Student Orientation Manual</w:t>
            </w:r>
            <w:r>
              <w:t>. </w:t>
            </w:r>
            <w:r>
              <w:rPr>
                <w:b/>
                <w:bCs/>
              </w:rPr>
              <w:t>Edition:</w:t>
            </w:r>
            <w:r>
              <w:t xml:space="preserve"> current year. Required. </w:t>
            </w:r>
            <w:r w:rsidR="00EB6D07">
              <w:t>NU</w:t>
            </w:r>
          </w:p>
        </w:tc>
      </w:tr>
      <w:tr w:rsidR="00356E5C">
        <w:tc>
          <w:tcPr>
            <w:tcW w:w="11100" w:type="dxa"/>
            <w:tcBorders>
              <w:top w:val="nil"/>
              <w:left w:val="nil"/>
              <w:bottom w:val="nil"/>
              <w:right w:val="nil"/>
            </w:tcBorders>
            <w:tcMar>
              <w:bottom w:w="120" w:type="dxa"/>
            </w:tcMar>
          </w:tcPr>
          <w:p w:rsidR="00FF187C" w:rsidRPr="005527EE" w:rsidRDefault="00B54166">
            <w:r>
              <w:rPr>
                <w:i/>
                <w:iCs/>
              </w:rPr>
              <w:t>KCC Nursing Student Handbook</w:t>
            </w:r>
            <w:r>
              <w:t>. </w:t>
            </w:r>
            <w:r>
              <w:rPr>
                <w:b/>
                <w:bCs/>
              </w:rPr>
              <w:t>Edition:</w:t>
            </w:r>
            <w:r>
              <w:t xml:space="preserve"> current year. Required. </w:t>
            </w:r>
          </w:p>
        </w:tc>
      </w:tr>
      <w:tr w:rsidR="00356E5C">
        <w:tc>
          <w:tcPr>
            <w:tcW w:w="11100" w:type="dxa"/>
            <w:tcBorders>
              <w:top w:val="nil"/>
              <w:left w:val="nil"/>
              <w:bottom w:val="nil"/>
              <w:right w:val="nil"/>
            </w:tcBorders>
            <w:tcMar>
              <w:bottom w:w="120" w:type="dxa"/>
            </w:tcMar>
          </w:tcPr>
          <w:p w:rsidR="00FF187C" w:rsidRPr="005527EE" w:rsidRDefault="00B54166">
            <w:r>
              <w:t xml:space="preserve">Harding, M., Snyder, J.S., and </w:t>
            </w:r>
            <w:proofErr w:type="spellStart"/>
            <w:r>
              <w:t>Preusser</w:t>
            </w:r>
            <w:proofErr w:type="spellEnd"/>
            <w:r>
              <w:t xml:space="preserve">, </w:t>
            </w:r>
            <w:proofErr w:type="gramStart"/>
            <w:r>
              <w:t>B.A..</w:t>
            </w:r>
            <w:proofErr w:type="gramEnd"/>
            <w:r>
              <w:t> </w:t>
            </w:r>
            <w:proofErr w:type="spellStart"/>
            <w:r>
              <w:rPr>
                <w:i/>
                <w:iCs/>
              </w:rPr>
              <w:t>Winningham's</w:t>
            </w:r>
            <w:proofErr w:type="spellEnd"/>
            <w:r>
              <w:rPr>
                <w:i/>
                <w:iCs/>
              </w:rPr>
              <w:t xml:space="preserve"> Critical Thinking Cases in Nursing</w:t>
            </w:r>
            <w:r>
              <w:t>. Elsevier. 2013. </w:t>
            </w:r>
            <w:r>
              <w:rPr>
                <w:b/>
                <w:bCs/>
              </w:rPr>
              <w:t>Edition:</w:t>
            </w:r>
            <w:r w:rsidR="00EB6D07">
              <w:t xml:space="preserve"> 6</w:t>
            </w:r>
            <w:r>
              <w:t>th. </w:t>
            </w:r>
            <w:r>
              <w:rPr>
                <w:b/>
                <w:bCs/>
              </w:rPr>
              <w:t>Pages:</w:t>
            </w:r>
            <w:r>
              <w:t xml:space="preserve"> 669. </w:t>
            </w:r>
            <w:r>
              <w:rPr>
                <w:b/>
                <w:bCs/>
              </w:rPr>
              <w:t>ISBN:</w:t>
            </w:r>
            <w:r w:rsidR="00EB6D07">
              <w:t xml:space="preserve"> 978-0-323-289610</w:t>
            </w:r>
            <w:r>
              <w:t>. </w:t>
            </w:r>
            <w:r>
              <w:rPr>
                <w:b/>
                <w:bCs/>
              </w:rPr>
              <w:t>Source:</w:t>
            </w:r>
            <w:r>
              <w:t xml:space="preserve"> vendor of choice. Required. </w:t>
            </w:r>
          </w:p>
        </w:tc>
      </w:tr>
      <w:tr w:rsidR="00356E5C">
        <w:tc>
          <w:tcPr>
            <w:tcW w:w="11100" w:type="dxa"/>
            <w:tcBorders>
              <w:top w:val="nil"/>
              <w:left w:val="nil"/>
              <w:bottom w:val="nil"/>
              <w:right w:val="nil"/>
            </w:tcBorders>
            <w:tcMar>
              <w:bottom w:w="120" w:type="dxa"/>
            </w:tcMar>
          </w:tcPr>
          <w:p w:rsidR="00FF187C" w:rsidRPr="005527EE" w:rsidRDefault="00B54166">
            <w:proofErr w:type="spellStart"/>
            <w:r>
              <w:t>Arikian</w:t>
            </w:r>
            <w:proofErr w:type="spellEnd"/>
            <w:r>
              <w:t xml:space="preserve">, V.P., </w:t>
            </w:r>
            <w:proofErr w:type="gramStart"/>
            <w:r>
              <w:t>et al..</w:t>
            </w:r>
            <w:proofErr w:type="gramEnd"/>
            <w:r>
              <w:t> </w:t>
            </w:r>
            <w:r>
              <w:rPr>
                <w:i/>
                <w:iCs/>
              </w:rPr>
              <w:t>Kaplan Nursing The Basics</w:t>
            </w:r>
            <w:r>
              <w:t xml:space="preserve">. Kaplan, </w:t>
            </w:r>
            <w:proofErr w:type="gramStart"/>
            <w:r>
              <w:t>Inc..</w:t>
            </w:r>
            <w:proofErr w:type="gramEnd"/>
            <w:r>
              <w:t> 2014. </w:t>
            </w:r>
            <w:r>
              <w:rPr>
                <w:b/>
                <w:bCs/>
              </w:rPr>
              <w:t>Pages:</w:t>
            </w:r>
            <w:r>
              <w:t xml:space="preserve"> 677. Required. </w:t>
            </w:r>
            <w:r>
              <w:rPr>
                <w:b/>
                <w:bCs/>
              </w:rPr>
              <w:t>Miscellaneous:</w:t>
            </w:r>
            <w:r>
              <w:t xml:space="preserve"> Students may use either the current print version, or the electronic book provided to you by a nursing faculty </w:t>
            </w:r>
            <w:proofErr w:type="gramStart"/>
            <w:r>
              <w:t>person..</w:t>
            </w:r>
            <w:proofErr w:type="gramEnd"/>
            <w:r>
              <w:t> </w:t>
            </w:r>
          </w:p>
        </w:tc>
      </w:tr>
    </w:tbl>
    <w:p w:rsidR="00FF187C" w:rsidRPr="005527EE" w:rsidRDefault="00B54166">
      <w:pPr>
        <w:pStyle w:val="Heading3"/>
      </w:pPr>
      <w:r w:rsidRPr="005527EE">
        <w:t>Core Values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tblGrid>
      <w:tr w:rsidR="00356E5C">
        <w:tc>
          <w:tcPr>
            <w:tcW w:w="600" w:type="dxa"/>
            <w:tcBorders>
              <w:top w:val="nil"/>
              <w:left w:val="nil"/>
              <w:bottom w:val="nil"/>
              <w:right w:val="nil"/>
            </w:tcBorders>
          </w:tcPr>
          <w:p w:rsidR="00FF187C" w:rsidRPr="005527EE" w:rsidRDefault="00B54166">
            <w:r w:rsidRPr="005527EE">
              <w:t>1.</w:t>
            </w:r>
          </w:p>
        </w:tc>
        <w:tc>
          <w:tcPr>
            <w:tcW w:w="10300" w:type="dxa"/>
            <w:tcBorders>
              <w:top w:val="nil"/>
              <w:left w:val="nil"/>
              <w:bottom w:val="nil"/>
              <w:right w:val="nil"/>
            </w:tcBorders>
          </w:tcPr>
          <w:p w:rsidR="00FF187C" w:rsidRPr="005527EE" w:rsidRDefault="00B54166">
            <w:r w:rsidRPr="005527EE">
              <w:t>Caring:  Promoting health, healing and hope in response to the human condition.</w:t>
            </w:r>
          </w:p>
        </w:tc>
      </w:tr>
      <w:tr w:rsidR="00356E5C">
        <w:tc>
          <w:tcPr>
            <w:tcW w:w="600" w:type="dxa"/>
            <w:tcBorders>
              <w:top w:val="nil"/>
              <w:left w:val="nil"/>
              <w:bottom w:val="nil"/>
              <w:right w:val="nil"/>
            </w:tcBorders>
          </w:tcPr>
          <w:p w:rsidR="00FF187C" w:rsidRPr="005527EE" w:rsidRDefault="00B54166">
            <w:r w:rsidRPr="005527EE">
              <w:t>2.</w:t>
            </w:r>
          </w:p>
        </w:tc>
        <w:tc>
          <w:tcPr>
            <w:tcW w:w="10300" w:type="dxa"/>
            <w:tcBorders>
              <w:top w:val="nil"/>
              <w:left w:val="nil"/>
              <w:bottom w:val="nil"/>
              <w:right w:val="nil"/>
            </w:tcBorders>
          </w:tcPr>
          <w:p w:rsidR="00FF187C" w:rsidRPr="005527EE" w:rsidRDefault="00B54166">
            <w:r w:rsidRPr="005527EE">
              <w:t>Diversity:  Recognizing differences among persons, ideas, values and ethnicities, while affirming the uniqueness of each.</w:t>
            </w:r>
          </w:p>
          <w:p w:rsidR="00FF187C" w:rsidRPr="005527EE" w:rsidRDefault="00FF187C"/>
        </w:tc>
      </w:tr>
      <w:tr w:rsidR="00356E5C">
        <w:tc>
          <w:tcPr>
            <w:tcW w:w="600" w:type="dxa"/>
            <w:tcBorders>
              <w:top w:val="nil"/>
              <w:left w:val="nil"/>
              <w:bottom w:val="nil"/>
              <w:right w:val="nil"/>
            </w:tcBorders>
          </w:tcPr>
          <w:p w:rsidR="00FF187C" w:rsidRPr="005527EE" w:rsidRDefault="00B54166">
            <w:r w:rsidRPr="005527EE">
              <w:t>3.</w:t>
            </w:r>
          </w:p>
        </w:tc>
        <w:tc>
          <w:tcPr>
            <w:tcW w:w="10300" w:type="dxa"/>
            <w:tcBorders>
              <w:top w:val="nil"/>
              <w:left w:val="nil"/>
              <w:bottom w:val="nil"/>
              <w:right w:val="nil"/>
            </w:tcBorders>
          </w:tcPr>
          <w:p w:rsidR="00FF187C" w:rsidRPr="005527EE" w:rsidRDefault="00B54166">
            <w:r w:rsidRPr="005527EE">
              <w:t>Ethics:  Reflective consideration of personal, societal, and professional values, principles and codes that shape nursing practice.</w:t>
            </w:r>
          </w:p>
          <w:p w:rsidR="00FF187C" w:rsidRPr="005527EE" w:rsidRDefault="00FF187C"/>
        </w:tc>
      </w:tr>
      <w:tr w:rsidR="00356E5C">
        <w:tc>
          <w:tcPr>
            <w:tcW w:w="600" w:type="dxa"/>
            <w:tcBorders>
              <w:top w:val="nil"/>
              <w:left w:val="nil"/>
              <w:bottom w:val="nil"/>
              <w:right w:val="nil"/>
            </w:tcBorders>
          </w:tcPr>
          <w:p w:rsidR="00FF187C" w:rsidRPr="005527EE" w:rsidRDefault="00B54166">
            <w:r w:rsidRPr="005527EE">
              <w:t>4.</w:t>
            </w:r>
          </w:p>
        </w:tc>
        <w:tc>
          <w:tcPr>
            <w:tcW w:w="10300" w:type="dxa"/>
            <w:tcBorders>
              <w:top w:val="nil"/>
              <w:left w:val="nil"/>
              <w:bottom w:val="nil"/>
              <w:right w:val="nil"/>
            </w:tcBorders>
          </w:tcPr>
          <w:p w:rsidR="00FF187C" w:rsidRPr="005527EE" w:rsidRDefault="00B54166">
            <w:r w:rsidRPr="005527EE">
              <w:t>Excellence:  Creating and implementing transformative strategies with daring ingenuity.</w:t>
            </w:r>
          </w:p>
          <w:p w:rsidR="00FF187C" w:rsidRPr="005527EE" w:rsidRDefault="00FF187C"/>
        </w:tc>
      </w:tr>
      <w:tr w:rsidR="00356E5C">
        <w:tc>
          <w:tcPr>
            <w:tcW w:w="600" w:type="dxa"/>
            <w:tcBorders>
              <w:top w:val="nil"/>
              <w:left w:val="nil"/>
              <w:bottom w:val="nil"/>
              <w:right w:val="nil"/>
            </w:tcBorders>
          </w:tcPr>
          <w:p w:rsidR="00FF187C" w:rsidRPr="005527EE" w:rsidRDefault="00B54166">
            <w:r w:rsidRPr="005527EE">
              <w:t>5.</w:t>
            </w:r>
          </w:p>
        </w:tc>
        <w:tc>
          <w:tcPr>
            <w:tcW w:w="10300" w:type="dxa"/>
            <w:tcBorders>
              <w:top w:val="nil"/>
              <w:left w:val="nil"/>
              <w:bottom w:val="nil"/>
              <w:right w:val="nil"/>
            </w:tcBorders>
          </w:tcPr>
          <w:p w:rsidR="00FF187C" w:rsidRPr="005527EE" w:rsidRDefault="00B54166">
            <w:r w:rsidRPr="005527EE">
              <w:t>Holism:  Ensuring that the culture of human caring in nursing and health care that affirms the human person as the synergy of unique and complex attributes, values, and behaviors, influenced by that individual environment, social norms, culture values, physical characteristics, experiences, religious beliefs and practices, and moral and ethical constructs, within the context of a wellness-illness continuum.</w:t>
            </w:r>
          </w:p>
          <w:p w:rsidR="00FF187C" w:rsidRPr="005527EE" w:rsidRDefault="00FF187C"/>
        </w:tc>
      </w:tr>
      <w:tr w:rsidR="00356E5C">
        <w:tc>
          <w:tcPr>
            <w:tcW w:w="600" w:type="dxa"/>
            <w:tcBorders>
              <w:top w:val="nil"/>
              <w:left w:val="nil"/>
              <w:bottom w:val="nil"/>
              <w:right w:val="nil"/>
            </w:tcBorders>
          </w:tcPr>
          <w:p w:rsidR="00FF187C" w:rsidRPr="005527EE" w:rsidRDefault="00B54166">
            <w:r w:rsidRPr="005527EE">
              <w:t>6.</w:t>
            </w:r>
          </w:p>
        </w:tc>
        <w:tc>
          <w:tcPr>
            <w:tcW w:w="10300" w:type="dxa"/>
            <w:tcBorders>
              <w:top w:val="nil"/>
              <w:left w:val="nil"/>
              <w:bottom w:val="nil"/>
              <w:right w:val="nil"/>
            </w:tcBorders>
          </w:tcPr>
          <w:p w:rsidR="00FF187C" w:rsidRPr="005527EE" w:rsidRDefault="00B54166">
            <w:r w:rsidRPr="005527EE">
              <w:t>Integrity:  Respecting the dignity and moral wholeness of every person with conditions or limitation.</w:t>
            </w:r>
          </w:p>
          <w:p w:rsidR="00FF187C" w:rsidRPr="005527EE" w:rsidRDefault="00FF187C"/>
        </w:tc>
      </w:tr>
      <w:tr w:rsidR="00356E5C">
        <w:tc>
          <w:tcPr>
            <w:tcW w:w="600" w:type="dxa"/>
            <w:tcBorders>
              <w:top w:val="nil"/>
              <w:left w:val="nil"/>
              <w:bottom w:val="nil"/>
              <w:right w:val="nil"/>
            </w:tcBorders>
          </w:tcPr>
          <w:p w:rsidR="00FF187C" w:rsidRPr="005527EE" w:rsidRDefault="00B54166">
            <w:r w:rsidRPr="005527EE">
              <w:lastRenderedPageBreak/>
              <w:t>7.</w:t>
            </w:r>
          </w:p>
        </w:tc>
        <w:tc>
          <w:tcPr>
            <w:tcW w:w="10300" w:type="dxa"/>
            <w:tcBorders>
              <w:top w:val="nil"/>
              <w:left w:val="nil"/>
              <w:bottom w:val="nil"/>
              <w:right w:val="nil"/>
            </w:tcBorders>
          </w:tcPr>
          <w:p w:rsidR="00FF187C" w:rsidRPr="005527EE" w:rsidRDefault="00B54166">
            <w:r w:rsidRPr="005527EE">
              <w:t xml:space="preserve">Patient-centeredness:  Ensuring the orientation to care that incorporates and reflects the uniqueness of an individual patient’s background, personal preferences, culture, values, traditions, and family. </w:t>
            </w:r>
          </w:p>
          <w:p w:rsidR="00FF187C" w:rsidRPr="005527EE" w:rsidRDefault="00FF187C"/>
        </w:tc>
      </w:tr>
    </w:tbl>
    <w:p w:rsidR="00FF187C" w:rsidRPr="005527EE" w:rsidRDefault="00B54166">
      <w:pPr>
        <w:pStyle w:val="Heading3"/>
      </w:pPr>
      <w:r w:rsidRPr="005527EE">
        <w:t>General Education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tblGrid>
      <w:tr w:rsidR="00356E5C">
        <w:tc>
          <w:tcPr>
            <w:tcW w:w="600" w:type="dxa"/>
            <w:tcBorders>
              <w:top w:val="nil"/>
              <w:left w:val="nil"/>
              <w:bottom w:val="nil"/>
              <w:right w:val="nil"/>
            </w:tcBorders>
          </w:tcPr>
          <w:p w:rsidR="00FF187C" w:rsidRPr="005527EE" w:rsidRDefault="00B54166">
            <w:r w:rsidRPr="005527EE">
              <w:t>1.</w:t>
            </w:r>
          </w:p>
        </w:tc>
        <w:tc>
          <w:tcPr>
            <w:tcW w:w="10300" w:type="dxa"/>
            <w:tcBorders>
              <w:top w:val="nil"/>
              <w:left w:val="nil"/>
              <w:bottom w:val="nil"/>
              <w:right w:val="nil"/>
            </w:tcBorders>
          </w:tcPr>
          <w:p w:rsidR="00FF187C" w:rsidRPr="005527EE" w:rsidRDefault="00B54166">
            <w:r w:rsidRPr="005527EE">
              <w:t>Demonstrate critical thinking skills in gathering, analyzing, interpreting facts, and problem solving.</w:t>
            </w:r>
          </w:p>
        </w:tc>
      </w:tr>
      <w:tr w:rsidR="00356E5C">
        <w:tc>
          <w:tcPr>
            <w:tcW w:w="600" w:type="dxa"/>
            <w:tcBorders>
              <w:top w:val="nil"/>
              <w:left w:val="nil"/>
              <w:bottom w:val="nil"/>
              <w:right w:val="nil"/>
            </w:tcBorders>
          </w:tcPr>
          <w:p w:rsidR="00FF187C" w:rsidRPr="005527EE" w:rsidRDefault="00B54166">
            <w:r w:rsidRPr="005527EE">
              <w:t>2.</w:t>
            </w:r>
          </w:p>
        </w:tc>
        <w:tc>
          <w:tcPr>
            <w:tcW w:w="10300" w:type="dxa"/>
            <w:tcBorders>
              <w:top w:val="nil"/>
              <w:left w:val="nil"/>
              <w:bottom w:val="nil"/>
              <w:right w:val="nil"/>
            </w:tcBorders>
          </w:tcPr>
          <w:p w:rsidR="00FF187C" w:rsidRPr="005527EE" w:rsidRDefault="00B54166">
            <w:r w:rsidRPr="005527EE">
              <w:t>Demonstrate knowledge of the creative process and the ability to appraise the significance of visual, literary, or performing arts.</w:t>
            </w:r>
          </w:p>
        </w:tc>
      </w:tr>
      <w:tr w:rsidR="00356E5C">
        <w:tc>
          <w:tcPr>
            <w:tcW w:w="600" w:type="dxa"/>
            <w:tcBorders>
              <w:top w:val="nil"/>
              <w:left w:val="nil"/>
              <w:bottom w:val="nil"/>
              <w:right w:val="nil"/>
            </w:tcBorders>
          </w:tcPr>
          <w:p w:rsidR="00FF187C" w:rsidRPr="005527EE" w:rsidRDefault="00B54166">
            <w:r w:rsidRPr="005527EE">
              <w:t>3.</w:t>
            </w:r>
          </w:p>
        </w:tc>
        <w:tc>
          <w:tcPr>
            <w:tcW w:w="10300" w:type="dxa"/>
            <w:tcBorders>
              <w:top w:val="nil"/>
              <w:left w:val="nil"/>
              <w:bottom w:val="nil"/>
              <w:right w:val="nil"/>
            </w:tcBorders>
          </w:tcPr>
          <w:p w:rsidR="00FF187C" w:rsidRPr="005527EE" w:rsidRDefault="00B54166">
            <w:r w:rsidRPr="005527EE">
              <w:t>Demonstrate writing, listening, verbal, non-verbal, and technology-related communication skills.</w:t>
            </w:r>
          </w:p>
        </w:tc>
      </w:tr>
      <w:tr w:rsidR="00356E5C">
        <w:tc>
          <w:tcPr>
            <w:tcW w:w="600" w:type="dxa"/>
            <w:tcBorders>
              <w:top w:val="nil"/>
              <w:left w:val="nil"/>
              <w:bottom w:val="nil"/>
              <w:right w:val="nil"/>
            </w:tcBorders>
          </w:tcPr>
          <w:p w:rsidR="00FF187C" w:rsidRPr="005527EE" w:rsidRDefault="00B54166">
            <w:r w:rsidRPr="005527EE">
              <w:t>4.</w:t>
            </w:r>
          </w:p>
        </w:tc>
        <w:tc>
          <w:tcPr>
            <w:tcW w:w="10300" w:type="dxa"/>
            <w:tcBorders>
              <w:top w:val="nil"/>
              <w:left w:val="nil"/>
              <w:bottom w:val="nil"/>
              <w:right w:val="nil"/>
            </w:tcBorders>
          </w:tcPr>
          <w:p w:rsidR="00FF187C" w:rsidRPr="005527EE" w:rsidRDefault="00B54166">
            <w:r w:rsidRPr="005527EE">
              <w:t>Discern how the core information learned in their course of study is relevant to the world in which they live.</w:t>
            </w:r>
          </w:p>
        </w:tc>
      </w:tr>
      <w:tr w:rsidR="00356E5C">
        <w:tc>
          <w:tcPr>
            <w:tcW w:w="600" w:type="dxa"/>
            <w:tcBorders>
              <w:top w:val="nil"/>
              <w:left w:val="nil"/>
              <w:bottom w:val="nil"/>
              <w:right w:val="nil"/>
            </w:tcBorders>
          </w:tcPr>
          <w:p w:rsidR="00FF187C" w:rsidRPr="005527EE" w:rsidRDefault="00B54166">
            <w:r w:rsidRPr="005527EE">
              <w:t>5.</w:t>
            </w:r>
          </w:p>
        </w:tc>
        <w:tc>
          <w:tcPr>
            <w:tcW w:w="10300" w:type="dxa"/>
            <w:tcBorders>
              <w:top w:val="nil"/>
              <w:left w:val="nil"/>
              <w:bottom w:val="nil"/>
              <w:right w:val="nil"/>
            </w:tcBorders>
          </w:tcPr>
          <w:p w:rsidR="00FF187C" w:rsidRPr="005527EE" w:rsidRDefault="00B54166">
            <w:r w:rsidRPr="005527EE">
              <w:t>Distinguish between the positive and negative implications of physical, mental, and community health principles on individual and community wellness.​</w:t>
            </w:r>
          </w:p>
        </w:tc>
      </w:tr>
    </w:tbl>
    <w:p w:rsidR="00FF187C" w:rsidRPr="005527EE" w:rsidRDefault="00B54166">
      <w:pPr>
        <w:pStyle w:val="Heading3"/>
      </w:pPr>
      <w:r w:rsidRPr="005527EE">
        <w:t>End of Program Student Learning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tblGrid>
      <w:tr w:rsidR="00356E5C">
        <w:tc>
          <w:tcPr>
            <w:tcW w:w="600" w:type="dxa"/>
            <w:tcBorders>
              <w:top w:val="nil"/>
              <w:left w:val="nil"/>
              <w:bottom w:val="nil"/>
              <w:right w:val="nil"/>
            </w:tcBorders>
          </w:tcPr>
          <w:p w:rsidR="00FF187C" w:rsidRPr="005527EE" w:rsidRDefault="00B54166">
            <w:r w:rsidRPr="005527EE">
              <w:t>1.</w:t>
            </w:r>
          </w:p>
        </w:tc>
        <w:tc>
          <w:tcPr>
            <w:tcW w:w="10300" w:type="dxa"/>
            <w:tcBorders>
              <w:top w:val="nil"/>
              <w:left w:val="nil"/>
              <w:bottom w:val="nil"/>
              <w:right w:val="nil"/>
            </w:tcBorders>
          </w:tcPr>
          <w:p w:rsidR="00FF187C" w:rsidRPr="005527EE" w:rsidRDefault="00B54166">
            <w:r w:rsidRPr="005527EE">
              <w:t>Human Flourishing: Supports nursing advocacy for patients and families in diverse patient populations.</w:t>
            </w:r>
          </w:p>
        </w:tc>
      </w:tr>
      <w:tr w:rsidR="00356E5C">
        <w:tc>
          <w:tcPr>
            <w:tcW w:w="600" w:type="dxa"/>
            <w:tcBorders>
              <w:top w:val="nil"/>
              <w:left w:val="nil"/>
              <w:bottom w:val="nil"/>
              <w:right w:val="nil"/>
            </w:tcBorders>
          </w:tcPr>
          <w:p w:rsidR="00FF187C" w:rsidRPr="005527EE" w:rsidRDefault="00B54166">
            <w:r w:rsidRPr="005527EE">
              <w:t>2.</w:t>
            </w:r>
          </w:p>
        </w:tc>
        <w:tc>
          <w:tcPr>
            <w:tcW w:w="10300" w:type="dxa"/>
            <w:tcBorders>
              <w:top w:val="nil"/>
              <w:left w:val="nil"/>
              <w:bottom w:val="nil"/>
              <w:right w:val="nil"/>
            </w:tcBorders>
          </w:tcPr>
          <w:p w:rsidR="00FF187C" w:rsidRPr="005527EE" w:rsidRDefault="00B54166">
            <w:r w:rsidRPr="005527EE">
              <w:t>Spirit of Inquiry: Incorporates evidence that underlies nursing practice to improve quality of care for patients and families, and communities in diverse patient populations.</w:t>
            </w:r>
          </w:p>
        </w:tc>
      </w:tr>
      <w:tr w:rsidR="00356E5C">
        <w:tc>
          <w:tcPr>
            <w:tcW w:w="600" w:type="dxa"/>
            <w:tcBorders>
              <w:top w:val="nil"/>
              <w:left w:val="nil"/>
              <w:bottom w:val="nil"/>
              <w:right w:val="nil"/>
            </w:tcBorders>
          </w:tcPr>
          <w:p w:rsidR="00FF187C" w:rsidRPr="005527EE" w:rsidRDefault="00B54166">
            <w:r w:rsidRPr="005527EE">
              <w:t>3.</w:t>
            </w:r>
          </w:p>
        </w:tc>
        <w:tc>
          <w:tcPr>
            <w:tcW w:w="10300" w:type="dxa"/>
            <w:tcBorders>
              <w:top w:val="nil"/>
              <w:left w:val="nil"/>
              <w:bottom w:val="nil"/>
              <w:right w:val="nil"/>
            </w:tcBorders>
          </w:tcPr>
          <w:p w:rsidR="00FF187C" w:rsidRPr="005527EE" w:rsidRDefault="00B54166">
            <w:r w:rsidRPr="005527EE">
              <w:t>Nursing Judgment: Incorporates evidence to provide safe, quality care in diverse patient populations.</w:t>
            </w:r>
          </w:p>
        </w:tc>
      </w:tr>
      <w:tr w:rsidR="00356E5C">
        <w:tc>
          <w:tcPr>
            <w:tcW w:w="600" w:type="dxa"/>
            <w:tcBorders>
              <w:top w:val="nil"/>
              <w:left w:val="nil"/>
              <w:bottom w:val="nil"/>
              <w:right w:val="nil"/>
            </w:tcBorders>
          </w:tcPr>
          <w:p w:rsidR="00FF187C" w:rsidRPr="005527EE" w:rsidRDefault="00B54166">
            <w:r w:rsidRPr="005527EE">
              <w:t>4.</w:t>
            </w:r>
          </w:p>
        </w:tc>
        <w:tc>
          <w:tcPr>
            <w:tcW w:w="10300" w:type="dxa"/>
            <w:tcBorders>
              <w:top w:val="nil"/>
              <w:left w:val="nil"/>
              <w:bottom w:val="nil"/>
              <w:right w:val="nil"/>
            </w:tcBorders>
          </w:tcPr>
          <w:p w:rsidR="00FF187C" w:rsidRPr="005527EE" w:rsidRDefault="00B54166">
            <w:r w:rsidRPr="005527EE">
              <w:t>Professional Identity:  Models professional, ethical and legal responsibility for safe, quality care.</w:t>
            </w:r>
          </w:p>
          <w:p w:rsidR="00FF187C" w:rsidRPr="005527EE" w:rsidRDefault="00FF187C"/>
        </w:tc>
      </w:tr>
    </w:tbl>
    <w:p w:rsidR="00FF187C" w:rsidRPr="005527EE" w:rsidRDefault="00B54166">
      <w:pPr>
        <w:pStyle w:val="Heading3"/>
      </w:pPr>
      <w:r w:rsidRPr="005527EE">
        <w:t>Unit Outcomes</w:t>
      </w:r>
    </w:p>
    <w:tbl>
      <w:tblPr>
        <w:tblW w:w="11108" w:type="dxa"/>
        <w:tblInd w:w="-108" w:type="dxa"/>
        <w:tblBorders>
          <w:top w:val="nil"/>
          <w:left w:val="nil"/>
          <w:bottom w:val="nil"/>
          <w:right w:val="nil"/>
          <w:insideH w:val="nil"/>
          <w:insideV w:val="nil"/>
        </w:tblBorders>
        <w:tblLayout w:type="fixed"/>
        <w:tblLook w:val="04A0" w:firstRow="1" w:lastRow="0" w:firstColumn="1" w:lastColumn="0" w:noHBand="0" w:noVBand="1"/>
      </w:tblPr>
      <w:tblGrid>
        <w:gridCol w:w="108"/>
        <w:gridCol w:w="600"/>
        <w:gridCol w:w="10292"/>
        <w:gridCol w:w="8"/>
        <w:gridCol w:w="100"/>
      </w:tblGrid>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w:t>
            </w:r>
          </w:p>
        </w:tc>
        <w:tc>
          <w:tcPr>
            <w:tcW w:w="10300" w:type="dxa"/>
            <w:gridSpan w:val="2"/>
            <w:tcBorders>
              <w:top w:val="nil"/>
              <w:left w:val="nil"/>
              <w:bottom w:val="nil"/>
              <w:right w:val="nil"/>
            </w:tcBorders>
          </w:tcPr>
          <w:p w:rsidR="00FF187C" w:rsidRPr="005527EE" w:rsidRDefault="00B54166">
            <w:r w:rsidRPr="005527EE">
              <w:t>Analyze concepts of mental health nursing.</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2.</w:t>
            </w:r>
          </w:p>
        </w:tc>
        <w:tc>
          <w:tcPr>
            <w:tcW w:w="10300" w:type="dxa"/>
            <w:gridSpan w:val="2"/>
            <w:tcBorders>
              <w:top w:val="nil"/>
              <w:left w:val="nil"/>
              <w:bottom w:val="nil"/>
              <w:right w:val="nil"/>
            </w:tcBorders>
          </w:tcPr>
          <w:p w:rsidR="00FF187C" w:rsidRPr="005527EE" w:rsidRDefault="00B54166">
            <w:r w:rsidRPr="005527EE">
              <w:t>Manage care for clients experiencing anxiety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3.</w:t>
            </w:r>
          </w:p>
        </w:tc>
        <w:tc>
          <w:tcPr>
            <w:tcW w:w="10300" w:type="dxa"/>
            <w:gridSpan w:val="2"/>
            <w:tcBorders>
              <w:top w:val="nil"/>
              <w:left w:val="nil"/>
              <w:bottom w:val="nil"/>
              <w:right w:val="nil"/>
            </w:tcBorders>
          </w:tcPr>
          <w:p w:rsidR="00FF187C" w:rsidRPr="005527EE" w:rsidRDefault="00B54166">
            <w:r w:rsidRPr="005527EE">
              <w:t>Manage care for clients experiencing mood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4.</w:t>
            </w:r>
          </w:p>
        </w:tc>
        <w:tc>
          <w:tcPr>
            <w:tcW w:w="10300" w:type="dxa"/>
            <w:gridSpan w:val="2"/>
            <w:tcBorders>
              <w:top w:val="nil"/>
              <w:left w:val="nil"/>
              <w:bottom w:val="nil"/>
              <w:right w:val="nil"/>
            </w:tcBorders>
          </w:tcPr>
          <w:p w:rsidR="00FF187C" w:rsidRPr="005527EE" w:rsidRDefault="00B54166">
            <w:r w:rsidRPr="005527EE">
              <w:t>Manage care for clients experiencing personality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5.</w:t>
            </w:r>
          </w:p>
        </w:tc>
        <w:tc>
          <w:tcPr>
            <w:tcW w:w="10300" w:type="dxa"/>
            <w:gridSpan w:val="2"/>
            <w:tcBorders>
              <w:top w:val="nil"/>
              <w:left w:val="nil"/>
              <w:bottom w:val="nil"/>
              <w:right w:val="nil"/>
            </w:tcBorders>
          </w:tcPr>
          <w:p w:rsidR="00FF187C" w:rsidRPr="005527EE" w:rsidRDefault="00B54166">
            <w:r w:rsidRPr="005527EE">
              <w:t>Manage care for clients with thought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6.</w:t>
            </w:r>
          </w:p>
        </w:tc>
        <w:tc>
          <w:tcPr>
            <w:tcW w:w="10300" w:type="dxa"/>
            <w:gridSpan w:val="2"/>
            <w:tcBorders>
              <w:top w:val="nil"/>
              <w:left w:val="nil"/>
              <w:bottom w:val="nil"/>
              <w:right w:val="nil"/>
            </w:tcBorders>
          </w:tcPr>
          <w:p w:rsidR="00FF187C" w:rsidRPr="005527EE" w:rsidRDefault="00B54166">
            <w:r w:rsidRPr="005527EE">
              <w:t>Manage care for clients with mental health disorders of childhood and adolescence.</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7.</w:t>
            </w:r>
          </w:p>
        </w:tc>
        <w:tc>
          <w:tcPr>
            <w:tcW w:w="10300" w:type="dxa"/>
            <w:gridSpan w:val="2"/>
            <w:tcBorders>
              <w:top w:val="nil"/>
              <w:left w:val="nil"/>
              <w:bottom w:val="nil"/>
              <w:right w:val="nil"/>
            </w:tcBorders>
          </w:tcPr>
          <w:p w:rsidR="00FF187C" w:rsidRPr="005527EE" w:rsidRDefault="00B54166">
            <w:r w:rsidRPr="005527EE">
              <w:t>Manage care for clients experiencing substance abuse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8.</w:t>
            </w:r>
          </w:p>
        </w:tc>
        <w:tc>
          <w:tcPr>
            <w:tcW w:w="10300" w:type="dxa"/>
            <w:gridSpan w:val="2"/>
            <w:tcBorders>
              <w:top w:val="nil"/>
              <w:left w:val="nil"/>
              <w:bottom w:val="nil"/>
              <w:right w:val="nil"/>
            </w:tcBorders>
          </w:tcPr>
          <w:p w:rsidR="00FF187C" w:rsidRPr="005527EE" w:rsidRDefault="00B54166">
            <w:r w:rsidRPr="005527EE">
              <w:t>Manage care for clients experiencing eating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9.</w:t>
            </w:r>
          </w:p>
        </w:tc>
        <w:tc>
          <w:tcPr>
            <w:tcW w:w="10300" w:type="dxa"/>
            <w:gridSpan w:val="2"/>
            <w:tcBorders>
              <w:top w:val="nil"/>
              <w:left w:val="nil"/>
              <w:bottom w:val="nil"/>
              <w:right w:val="nil"/>
            </w:tcBorders>
          </w:tcPr>
          <w:p w:rsidR="00FF187C" w:rsidRPr="005527EE" w:rsidRDefault="00B54166">
            <w:r w:rsidRPr="005527EE">
              <w:t>Manage care for clients and families experience domestic violence.</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10.</w:t>
            </w:r>
          </w:p>
        </w:tc>
        <w:tc>
          <w:tcPr>
            <w:tcW w:w="10300" w:type="dxa"/>
            <w:gridSpan w:val="2"/>
            <w:tcBorders>
              <w:top w:val="nil"/>
              <w:left w:val="nil"/>
              <w:bottom w:val="nil"/>
              <w:right w:val="nil"/>
            </w:tcBorders>
          </w:tcPr>
          <w:p w:rsidR="00FF187C" w:rsidRPr="005527EE" w:rsidRDefault="00B54166">
            <w:r w:rsidRPr="005527EE">
              <w:t>Manage care for clients experiencing cognitive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11.</w:t>
            </w:r>
          </w:p>
        </w:tc>
        <w:tc>
          <w:tcPr>
            <w:tcW w:w="10300" w:type="dxa"/>
            <w:gridSpan w:val="2"/>
            <w:tcBorders>
              <w:top w:val="nil"/>
              <w:left w:val="nil"/>
              <w:bottom w:val="nil"/>
              <w:right w:val="nil"/>
            </w:tcBorders>
          </w:tcPr>
          <w:p w:rsidR="00FF187C" w:rsidRPr="005527EE" w:rsidRDefault="00B54166">
            <w:r w:rsidRPr="005527EE">
              <w:t>Manage care for clients experiencing grief/loss and end of life issues.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12.</w:t>
            </w:r>
          </w:p>
        </w:tc>
        <w:tc>
          <w:tcPr>
            <w:tcW w:w="10300" w:type="dxa"/>
            <w:gridSpan w:val="2"/>
            <w:tcBorders>
              <w:top w:val="nil"/>
              <w:left w:val="nil"/>
              <w:bottom w:val="nil"/>
              <w:right w:val="nil"/>
            </w:tcBorders>
          </w:tcPr>
          <w:p w:rsidR="00FF187C" w:rsidRPr="005527EE" w:rsidRDefault="00B54166">
            <w:r w:rsidRPr="005527EE">
              <w:t>Analyze ethical and  legal dilemmas in health care.</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13.</w:t>
            </w:r>
          </w:p>
        </w:tc>
        <w:tc>
          <w:tcPr>
            <w:tcW w:w="10300" w:type="dxa"/>
            <w:gridSpan w:val="2"/>
            <w:tcBorders>
              <w:top w:val="nil"/>
              <w:left w:val="nil"/>
              <w:bottom w:val="nil"/>
              <w:right w:val="nil"/>
            </w:tcBorders>
          </w:tcPr>
          <w:p w:rsidR="00FF187C" w:rsidRPr="005527EE" w:rsidRDefault="00B54166">
            <w:r w:rsidRPr="005527EE">
              <w:t>Analyze concepts of milieu management</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14.</w:t>
            </w:r>
          </w:p>
        </w:tc>
        <w:tc>
          <w:tcPr>
            <w:tcW w:w="10300" w:type="dxa"/>
            <w:gridSpan w:val="2"/>
            <w:tcBorders>
              <w:top w:val="nil"/>
              <w:left w:val="nil"/>
              <w:bottom w:val="nil"/>
              <w:right w:val="nil"/>
            </w:tcBorders>
          </w:tcPr>
          <w:p w:rsidR="00FF187C" w:rsidRPr="005527EE" w:rsidRDefault="00B54166">
            <w:r w:rsidRPr="005527EE">
              <w:t>Manage care for clients experiencing sexual and gender identity disorders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15.</w:t>
            </w:r>
          </w:p>
        </w:tc>
        <w:tc>
          <w:tcPr>
            <w:tcW w:w="10300" w:type="dxa"/>
            <w:gridSpan w:val="2"/>
            <w:tcBorders>
              <w:top w:val="nil"/>
              <w:left w:val="nil"/>
              <w:bottom w:val="nil"/>
              <w:right w:val="nil"/>
            </w:tcBorders>
          </w:tcPr>
          <w:p w:rsidR="00FF187C" w:rsidRPr="005527EE" w:rsidRDefault="00B54166">
            <w:r w:rsidRPr="005527EE">
              <w:t>Manage the nurse-client relationship</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16.</w:t>
            </w:r>
          </w:p>
        </w:tc>
        <w:tc>
          <w:tcPr>
            <w:tcW w:w="10300" w:type="dxa"/>
            <w:gridSpan w:val="2"/>
            <w:tcBorders>
              <w:top w:val="nil"/>
              <w:left w:val="nil"/>
              <w:bottom w:val="nil"/>
              <w:right w:val="nil"/>
            </w:tcBorders>
          </w:tcPr>
          <w:p w:rsidR="00FF187C" w:rsidRPr="005527EE" w:rsidRDefault="00B54166">
            <w:r w:rsidRPr="005527EE">
              <w:t>Analyze theoretical models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lastRenderedPageBreak/>
              <w:t>17.</w:t>
            </w:r>
          </w:p>
        </w:tc>
        <w:tc>
          <w:tcPr>
            <w:tcW w:w="10300" w:type="dxa"/>
            <w:gridSpan w:val="2"/>
            <w:tcBorders>
              <w:top w:val="nil"/>
              <w:left w:val="nil"/>
              <w:bottom w:val="nil"/>
              <w:right w:val="nil"/>
            </w:tcBorders>
          </w:tcPr>
          <w:p w:rsidR="00FF187C" w:rsidRPr="005527EE" w:rsidRDefault="00B54166">
            <w:r w:rsidRPr="005527EE">
              <w:t>Maintain a professional image as a nurse.</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18.</w:t>
            </w:r>
          </w:p>
        </w:tc>
        <w:tc>
          <w:tcPr>
            <w:tcW w:w="10300" w:type="dxa"/>
            <w:gridSpan w:val="2"/>
            <w:tcBorders>
              <w:top w:val="nil"/>
              <w:left w:val="nil"/>
              <w:bottom w:val="nil"/>
              <w:right w:val="nil"/>
            </w:tcBorders>
          </w:tcPr>
          <w:p w:rsidR="00FF187C" w:rsidRPr="005527EE" w:rsidRDefault="00B54166">
            <w:r w:rsidRPr="005527EE">
              <w:t>Maintain therapeutic relationships</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19.</w:t>
            </w:r>
          </w:p>
        </w:tc>
        <w:tc>
          <w:tcPr>
            <w:tcW w:w="10300" w:type="dxa"/>
            <w:gridSpan w:val="2"/>
            <w:tcBorders>
              <w:top w:val="nil"/>
              <w:left w:val="nil"/>
              <w:bottom w:val="nil"/>
              <w:right w:val="nil"/>
            </w:tcBorders>
          </w:tcPr>
          <w:p w:rsidR="00FF187C" w:rsidRPr="005527EE" w:rsidRDefault="00B54166">
            <w:r w:rsidRPr="005527EE">
              <w:t>Demonstrate the use of therapeutic techniques with clients in a mental health setting.</w:t>
            </w:r>
          </w:p>
        </w:tc>
      </w:tr>
      <w:tr w:rsidR="00356E5C" w:rsidTr="00304E62">
        <w:trPr>
          <w:gridBefore w:val="1"/>
          <w:gridAfter w:val="1"/>
          <w:wBefore w:w="108" w:type="dxa"/>
          <w:wAfter w:w="100" w:type="dxa"/>
        </w:trPr>
        <w:tc>
          <w:tcPr>
            <w:tcW w:w="600" w:type="dxa"/>
            <w:tcBorders>
              <w:top w:val="nil"/>
              <w:left w:val="nil"/>
              <w:bottom w:val="nil"/>
              <w:right w:val="nil"/>
            </w:tcBorders>
          </w:tcPr>
          <w:p w:rsidR="00FF187C" w:rsidRPr="005527EE" w:rsidRDefault="00B54166">
            <w:r w:rsidRPr="005527EE">
              <w:t>20.</w:t>
            </w:r>
          </w:p>
        </w:tc>
        <w:tc>
          <w:tcPr>
            <w:tcW w:w="10300" w:type="dxa"/>
            <w:gridSpan w:val="2"/>
            <w:tcBorders>
              <w:top w:val="nil"/>
              <w:left w:val="nil"/>
              <w:bottom w:val="nil"/>
              <w:right w:val="nil"/>
            </w:tcBorders>
          </w:tcPr>
          <w:p w:rsidR="00FF187C" w:rsidRPr="005527EE" w:rsidRDefault="00B54166">
            <w:r w:rsidRPr="005527EE">
              <w:t>Evaluate the client's response to medication.</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Course Grading Information</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pacing w:after="240"/>
            </w:pPr>
            <w:r>
              <w:rPr>
                <w:rFonts w:ascii="Arial" w:eastAsia="Arial" w:hAnsi="Arial" w:cs="Arial"/>
                <w:b/>
                <w:bCs/>
              </w:rPr>
              <w:t>Grading Rationale </w:t>
            </w:r>
          </w:p>
          <w:p w:rsidR="00987543" w:rsidRDefault="00815D27">
            <w:pPr>
              <w:spacing w:after="240"/>
              <w:rPr>
                <w:rFonts w:ascii="Arial" w:eastAsia="Arial" w:hAnsi="Arial" w:cs="Arial"/>
              </w:rPr>
            </w:pPr>
            <w:r>
              <w:rPr>
                <w:rFonts w:ascii="Arial" w:eastAsia="Arial" w:hAnsi="Arial" w:cs="Arial"/>
              </w:rPr>
              <w:t xml:space="preserve">Exam 1 </w:t>
            </w:r>
            <w:r w:rsidRPr="00987543">
              <w:rPr>
                <w:rFonts w:ascii="Arial" w:eastAsia="Arial" w:hAnsi="Arial" w:cs="Arial"/>
              </w:rPr>
              <w:t>- 21</w:t>
            </w:r>
            <w:r w:rsidR="00B54166" w:rsidRPr="00987543">
              <w:rPr>
                <w:rFonts w:ascii="Arial" w:eastAsia="Arial" w:hAnsi="Arial" w:cs="Arial"/>
              </w:rPr>
              <w:t>%</w:t>
            </w:r>
            <w:r w:rsidRPr="00987543">
              <w:rPr>
                <w:rFonts w:ascii="Arial" w:eastAsia="Arial" w:hAnsi="Arial" w:cs="Arial"/>
              </w:rPr>
              <w:br/>
            </w:r>
            <w:r w:rsidRPr="00987543">
              <w:rPr>
                <w:rFonts w:ascii="Arial" w:eastAsia="Arial" w:hAnsi="Arial" w:cs="Arial"/>
              </w:rPr>
              <w:br/>
              <w:t>Exam 2 - 21</w:t>
            </w:r>
            <w:r w:rsidR="00B54166" w:rsidRPr="00987543">
              <w:rPr>
                <w:rFonts w:ascii="Arial" w:eastAsia="Arial" w:hAnsi="Arial" w:cs="Arial"/>
              </w:rPr>
              <w:t>%</w:t>
            </w:r>
            <w:r w:rsidRPr="00987543">
              <w:rPr>
                <w:rFonts w:ascii="Arial" w:eastAsia="Arial" w:hAnsi="Arial" w:cs="Arial"/>
              </w:rPr>
              <w:br/>
            </w:r>
            <w:r w:rsidRPr="00987543">
              <w:rPr>
                <w:rFonts w:ascii="Arial" w:eastAsia="Arial" w:hAnsi="Arial" w:cs="Arial"/>
              </w:rPr>
              <w:br/>
              <w:t>Exam 3 - 21</w:t>
            </w:r>
            <w:r w:rsidR="00B54166" w:rsidRPr="00987543">
              <w:rPr>
                <w:rFonts w:ascii="Arial" w:eastAsia="Arial" w:hAnsi="Arial" w:cs="Arial"/>
              </w:rPr>
              <w:t>%</w:t>
            </w:r>
            <w:r w:rsidR="00B54166">
              <w:rPr>
                <w:rFonts w:ascii="Arial" w:eastAsia="Arial" w:hAnsi="Arial" w:cs="Arial"/>
              </w:rPr>
              <w:br/>
            </w:r>
            <w:r w:rsidR="00B54166">
              <w:rPr>
                <w:rFonts w:ascii="Arial" w:eastAsia="Arial" w:hAnsi="Arial" w:cs="Arial"/>
              </w:rPr>
              <w:br/>
              <w:t xml:space="preserve">Exam 4 - 27% (Comprehensive exam with some new content) </w:t>
            </w:r>
            <w:r w:rsidR="00B54166">
              <w:rPr>
                <w:rFonts w:ascii="Arial" w:eastAsia="Arial" w:hAnsi="Arial" w:cs="Arial"/>
              </w:rPr>
              <w:br/>
            </w:r>
            <w:r w:rsidR="00B54166">
              <w:rPr>
                <w:rFonts w:ascii="Arial" w:eastAsia="Arial" w:hAnsi="Arial" w:cs="Arial"/>
              </w:rPr>
              <w:br/>
            </w:r>
            <w:r w:rsidR="00B54166">
              <w:rPr>
                <w:rFonts w:ascii="Arial" w:eastAsia="Arial" w:hAnsi="Arial" w:cs="Arial"/>
              </w:rPr>
              <w:br/>
              <w:t xml:space="preserve">Assessments </w:t>
            </w:r>
            <w:r>
              <w:rPr>
                <w:rFonts w:ascii="Arial" w:eastAsia="Arial" w:hAnsi="Arial" w:cs="Arial"/>
              </w:rPr>
              <w:t xml:space="preserve">(Assignments) and/or quizzes): </w:t>
            </w:r>
            <w:r w:rsidRPr="00987543">
              <w:rPr>
                <w:rFonts w:ascii="Arial" w:eastAsia="Arial" w:hAnsi="Arial" w:cs="Arial"/>
              </w:rPr>
              <w:t>10</w:t>
            </w:r>
            <w:r w:rsidR="00B54166" w:rsidRPr="00987543">
              <w:rPr>
                <w:rFonts w:ascii="Arial" w:eastAsia="Arial" w:hAnsi="Arial" w:cs="Arial"/>
              </w:rPr>
              <w:t>%</w:t>
            </w:r>
            <w:r w:rsidR="00B54166">
              <w:rPr>
                <w:rFonts w:ascii="Arial" w:eastAsia="Arial" w:hAnsi="Arial" w:cs="Arial"/>
              </w:rPr>
              <w:t xml:space="preserve"> of total grade.</w:t>
            </w:r>
            <w:r w:rsidR="00EF5DF5">
              <w:rPr>
                <w:rFonts w:ascii="Arial" w:eastAsia="Arial" w:hAnsi="Arial" w:cs="Arial"/>
              </w:rPr>
              <w:t xml:space="preserve"> </w:t>
            </w:r>
          </w:p>
          <w:p w:rsidR="00987543" w:rsidRPr="00330A61" w:rsidRDefault="00987543" w:rsidP="00987543">
            <w:pPr>
              <w:pStyle w:val="ListParagraph"/>
              <w:numPr>
                <w:ilvl w:val="0"/>
                <w:numId w:val="13"/>
              </w:numPr>
              <w:spacing w:after="240"/>
              <w:rPr>
                <w:rFonts w:eastAsia="Arial"/>
              </w:rPr>
            </w:pPr>
            <w:r w:rsidRPr="00330A61">
              <w:rPr>
                <w:rFonts w:eastAsia="Arial"/>
              </w:rPr>
              <w:t xml:space="preserve">4 Shadow Health Focused Exams (Anxiety, Schizophrenia, Depression and Alcohol abuse) each worth 2% of total grade </w:t>
            </w:r>
          </w:p>
          <w:p w:rsidR="00987543" w:rsidRPr="00330A61" w:rsidRDefault="00987543" w:rsidP="00987543">
            <w:pPr>
              <w:pStyle w:val="ListParagraph"/>
              <w:numPr>
                <w:ilvl w:val="0"/>
                <w:numId w:val="13"/>
              </w:numPr>
              <w:spacing w:after="240"/>
              <w:rPr>
                <w:rFonts w:eastAsia="Arial"/>
              </w:rPr>
            </w:pPr>
            <w:r w:rsidRPr="00330A61">
              <w:rPr>
                <w:rFonts w:eastAsia="Arial"/>
              </w:rPr>
              <w:t>Reflective Paper worth 2%</w:t>
            </w:r>
          </w:p>
          <w:p w:rsidR="00987543" w:rsidRPr="00987543" w:rsidRDefault="00987543" w:rsidP="00987543">
            <w:r w:rsidRPr="00330A61">
              <w:t>It is required that each student complete the PTSD Shadow Health as a clinical assignment to successfully complete NURS 276</w:t>
            </w:r>
          </w:p>
          <w:p w:rsidR="00356E5C" w:rsidRDefault="00B54166">
            <w:pPr>
              <w:spacing w:after="240"/>
              <w:rPr>
                <w:rFonts w:ascii="Arial" w:eastAsia="Arial" w:hAnsi="Arial" w:cs="Arial"/>
              </w:rPr>
            </w:pPr>
            <w:r>
              <w:rPr>
                <w:rFonts w:ascii="Arial" w:eastAsia="Arial" w:hAnsi="Arial" w:cs="Arial"/>
              </w:rPr>
              <w:br/>
              <w:t>It is required that each student complete a proctored integrated Kaplan exam to successfully complete N</w:t>
            </w:r>
            <w:r w:rsidR="00B1344E">
              <w:rPr>
                <w:rFonts w:ascii="Arial" w:eastAsia="Arial" w:hAnsi="Arial" w:cs="Arial"/>
              </w:rPr>
              <w:t>UR</w:t>
            </w:r>
            <w:r w:rsidR="00987543">
              <w:rPr>
                <w:rFonts w:ascii="Arial" w:eastAsia="Arial" w:hAnsi="Arial" w:cs="Arial"/>
              </w:rPr>
              <w:t>S</w:t>
            </w:r>
            <w:r w:rsidR="00B1344E">
              <w:rPr>
                <w:rFonts w:ascii="Arial" w:eastAsia="Arial" w:hAnsi="Arial" w:cs="Arial"/>
              </w:rPr>
              <w:t xml:space="preserve"> </w:t>
            </w:r>
            <w:r>
              <w:rPr>
                <w:rFonts w:ascii="Arial" w:eastAsia="Arial" w:hAnsi="Arial" w:cs="Arial"/>
              </w:rPr>
              <w:t xml:space="preserve">276.  </w:t>
            </w:r>
          </w:p>
          <w:p w:rsidR="00987543" w:rsidRDefault="00987543">
            <w:pPr>
              <w:spacing w:after="240"/>
            </w:pPr>
          </w:p>
          <w:tbl>
            <w:tblPr>
              <w:tblW w:w="5224" w:type="pct"/>
              <w:tblCellSpacing w:w="15" w:type="dxa"/>
              <w:tblLayout w:type="fixed"/>
              <w:tblCellMar>
                <w:left w:w="0" w:type="dxa"/>
                <w:right w:w="0" w:type="dxa"/>
              </w:tblCellMar>
              <w:tblLook w:val="04A0" w:firstRow="1" w:lastRow="0" w:firstColumn="1" w:lastColumn="0" w:noHBand="0" w:noVBand="1"/>
            </w:tblPr>
            <w:tblGrid>
              <w:gridCol w:w="1382"/>
              <w:gridCol w:w="9885"/>
            </w:tblGrid>
            <w:tr w:rsidR="003C1DEC" w:rsidTr="003C1DEC">
              <w:trPr>
                <w:tblCellSpacing w:w="15" w:type="dxa"/>
              </w:trPr>
              <w:tc>
                <w:tcPr>
                  <w:tcW w:w="4821" w:type="pct"/>
                  <w:gridSpan w:val="2"/>
                  <w:tcBorders>
                    <w:top w:val="nil"/>
                    <w:left w:val="nil"/>
                    <w:bottom w:val="nil"/>
                    <w:right w:val="nil"/>
                  </w:tcBorders>
                  <w:shd w:val="clear" w:color="auto" w:fill="auto"/>
                  <w:tcMar>
                    <w:top w:w="15" w:type="dxa"/>
                    <w:left w:w="15" w:type="dxa"/>
                    <w:bottom w:w="15" w:type="dxa"/>
                    <w:right w:w="15" w:type="dxa"/>
                  </w:tcMar>
                  <w:vAlign w:val="center"/>
                </w:tcPr>
                <w:p w:rsidR="00356E5C" w:rsidRDefault="00B54166">
                  <w:pPr>
                    <w:spacing w:after="0"/>
                  </w:pPr>
                  <w:r>
                    <w:rPr>
                      <w:rFonts w:ascii="Arial" w:eastAsia="Arial" w:hAnsi="Arial" w:cs="Arial"/>
                      <w:b/>
                      <w:bCs/>
                    </w:rPr>
                    <w:t>Grading Scale</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t> </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 xml:space="preserve">The following percentages will be used to determine student grades as follows (a student MUST receive a course grade of "C" or 78% at a minimum , </w:t>
                  </w:r>
                  <w:r>
                    <w:rPr>
                      <w:rFonts w:ascii="Arial" w:eastAsia="Arial" w:hAnsi="Arial" w:cs="Arial"/>
                      <w:color w:val="000000"/>
                    </w:rPr>
                    <w:t xml:space="preserve">pass clinical, participate in Simulations, and complete all assignments </w:t>
                  </w:r>
                  <w:r>
                    <w:rPr>
                      <w:rFonts w:ascii="Arial" w:eastAsia="Arial" w:hAnsi="Arial" w:cs="Arial"/>
                    </w:rPr>
                    <w:t>to advance to the next nursing course):</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95-100</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92-94%</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90-91%</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87-89%</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84-86%</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81-83%</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78-80%</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75-77%</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72-74%</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69-71%</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66-68%</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F</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65% and below</w:t>
                  </w:r>
                </w:p>
              </w:tc>
            </w:tr>
            <w:tr w:rsidR="00356E5C">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lastRenderedPageBreak/>
                    <w:t> </w:t>
                  </w:r>
                </w:p>
              </w:tc>
              <w:tc>
                <w:tcPr>
                  <w:tcW w:w="4231" w:type="pct"/>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rPr>
                      <w:rFonts w:ascii="Arial" w:eastAsia="Arial" w:hAnsi="Arial" w:cs="Arial"/>
                    </w:rPr>
                    <w:t>All course grades are not rounded and will be recorded to the hundredths place. For example, for a course with four exams where the exam grades are 80.60, 70.90, 78.75 and 79.81, the final course grade average would be 77.51 or a "C-". The final grade for the course is not rounded up to the next whole number.</w:t>
                  </w:r>
                </w:p>
                <w:p w:rsidR="00356E5C" w:rsidRDefault="00B54166">
                  <w:pPr>
                    <w:spacing w:after="0"/>
                  </w:pPr>
                  <w:r>
                    <w:t> </w:t>
                  </w:r>
                </w:p>
                <w:p w:rsidR="00356E5C" w:rsidRDefault="00B54166">
                  <w:pPr>
                    <w:spacing w:after="0"/>
                  </w:pPr>
                  <w:r>
                    <w:rPr>
                      <w:color w:val="000000"/>
                    </w:rPr>
                    <w:t xml:space="preserve">Clinical/lab is evaluated on a pass/fail basis. Clinical failure will result in a grade of “F” regardless of academic performance in the theory portion of the course. </w:t>
                  </w:r>
                </w:p>
                <w:p w:rsidR="00356E5C" w:rsidRDefault="00B54166">
                  <w:pPr>
                    <w:spacing w:after="0"/>
                  </w:pPr>
                  <w:r>
                    <w:t> </w:t>
                  </w:r>
                </w:p>
                <w:p w:rsidR="00356E5C" w:rsidRDefault="00B54166">
                  <w:pPr>
                    <w:spacing w:after="0"/>
                  </w:pPr>
                  <w:r>
                    <w:t> </w:t>
                  </w:r>
                </w:p>
                <w:p w:rsidR="00356E5C" w:rsidRDefault="00B54166">
                  <w:pPr>
                    <w:spacing w:after="0"/>
                  </w:pPr>
                  <w:r>
                    <w:t> </w:t>
                  </w:r>
                </w:p>
                <w:p w:rsidR="00356E5C" w:rsidRDefault="00B54166">
                  <w:pPr>
                    <w:spacing w:after="0"/>
                  </w:pPr>
                  <w:r>
                    <w:t> </w:t>
                  </w:r>
                </w:p>
                <w:p w:rsidR="00356E5C" w:rsidRDefault="00B54166">
                  <w:pPr>
                    <w:spacing w:after="0"/>
                  </w:pPr>
                  <w:r>
                    <w:t> </w:t>
                  </w:r>
                </w:p>
              </w:tc>
            </w:tr>
          </w:tbl>
          <w:p w:rsidR="00356E5C" w:rsidRDefault="00356E5C"/>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 xml:space="preserve"> Course Student Learning Outcomes N</w:t>
            </w:r>
            <w:r w:rsidR="00B1344E">
              <w:t xml:space="preserve">URS </w:t>
            </w:r>
            <w:r w:rsidRPr="005527EE">
              <w:t>276</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sz w:val="24"/>
              </w:rPr>
              <w:t>1.  Human Flourishing:  Prioritizes concepts of nursing advocacy to help patients and families with various behavioral disorders achieve desired outcomes.</w:t>
            </w:r>
          </w:p>
          <w:p w:rsidR="00356E5C" w:rsidRDefault="00B54166">
            <w:r>
              <w:rPr>
                <w:sz w:val="24"/>
              </w:rPr>
              <w:t> </w:t>
            </w:r>
          </w:p>
          <w:p w:rsidR="00356E5C" w:rsidRDefault="00B54166">
            <w:r>
              <w:rPr>
                <w:sz w:val="24"/>
              </w:rPr>
              <w:t>2.  Spirit of Inquiry:  Prioritizes evidence based nursing actions to improve the quality of care for patients and families with various behavioral disorders in diverse healthcare settings. </w:t>
            </w:r>
          </w:p>
          <w:p w:rsidR="00356E5C" w:rsidRDefault="00B54166">
            <w:r>
              <w:rPr>
                <w:sz w:val="24"/>
              </w:rPr>
              <w:t> </w:t>
            </w:r>
          </w:p>
          <w:p w:rsidR="00356E5C" w:rsidRDefault="00B54166">
            <w:r>
              <w:rPr>
                <w:sz w:val="24"/>
              </w:rPr>
              <w:t>3.  Nursing Judgment:  Prioritizes rationale for nursing actions in the provision of safe, quality care of patients with various behavioral disorders in diverse healthcare settings.</w:t>
            </w:r>
          </w:p>
          <w:p w:rsidR="00356E5C" w:rsidRDefault="00B54166">
            <w:r>
              <w:rPr>
                <w:sz w:val="24"/>
              </w:rPr>
              <w:t> </w:t>
            </w:r>
          </w:p>
          <w:p w:rsidR="00356E5C" w:rsidRDefault="00B54166">
            <w:r>
              <w:rPr>
                <w:sz w:val="24"/>
              </w:rPr>
              <w:t>4.  Professional Identity:  Evaluates professional, ethical and legal responsibility for safe, quality care of patients with various behavioral disorders in diverse healthcare settings.</w:t>
            </w:r>
          </w:p>
          <w:p w:rsidR="00356E5C" w:rsidRDefault="00B54166">
            <w:r>
              <w:t> </w:t>
            </w:r>
          </w:p>
          <w:p w:rsidR="00356E5C" w:rsidRDefault="00B54166">
            <w:r>
              <w:rPr>
                <w:sz w:val="24"/>
              </w:rPr>
              <w:t> </w:t>
            </w:r>
          </w:p>
          <w:p w:rsidR="00356E5C" w:rsidRDefault="00B54166">
            <w: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 Accreditation Standards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Please refer to http://www.acenursing.net/manuals/sc2017_A.pdf</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Textbook Statement</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 xml:space="preserve">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p w:rsidR="00356E5C" w:rsidRDefault="00B54166">
            <w: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 Safe and Successful Campus Environment</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lastRenderedPageBreak/>
              <w:t>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student.  Academic assistance is available in The Bridge and through Academic Advising; personal counseling is also available in Support Services.</w:t>
            </w:r>
            <w:r>
              <w:br/>
            </w:r>
            <w: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Assessments</w:t>
            </w:r>
            <w:r w:rsidR="00B1344E">
              <w:t xml:space="preserve"> </w:t>
            </w:r>
            <w:r w:rsidRPr="005527EE">
              <w:t>(Assignments)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rFonts w:ascii="Arial" w:eastAsia="Arial" w:hAnsi="Arial" w:cs="Arial"/>
                <w:color w:val="000000"/>
                <w:shd w:val="solid" w:color="FFFFFF" w:fill="auto"/>
              </w:rPr>
              <w:t>There will be multiple assigned assessments (assignments) and/or quizzes throughout the semesters.  Please see your classroom schedule with assignment due dates. These may be assigned either before or during class. Assignments are worth 4% of your total grade this semester.  You must be present in class to get credit for any assessment (assignment) that is completed or turned in for a grade. It is an expectation that students complete all assessments found in the learning plans. </w:t>
            </w:r>
            <w:r>
              <w:rPr>
                <w:rFonts w:ascii="Arial" w:eastAsia="Arial" w:hAnsi="Arial" w:cs="Arial"/>
                <w:b/>
                <w:bCs/>
                <w:color w:val="000000"/>
                <w:shd w:val="solid" w:color="FFFFFF" w:fill="auto"/>
              </w:rPr>
              <w:t>Assignments must be turned in at the beginning of the class or no credit will be given. </w:t>
            </w:r>
            <w:r>
              <w:rPr>
                <w:rFonts w:ascii="Arial" w:eastAsia="Arial" w:hAnsi="Arial" w:cs="Arial"/>
                <w:color w:val="000000"/>
                <w:shd w:val="solid" w:color="FFFFFF" w:fill="auto"/>
              </w:rPr>
              <w:t>If the assignment is turned in and there is group work attached to the grade of the assignment the student </w:t>
            </w:r>
            <w:r>
              <w:rPr>
                <w:rFonts w:ascii="Arial" w:eastAsia="Arial" w:hAnsi="Arial" w:cs="Arial"/>
                <w:b/>
                <w:bCs/>
                <w:color w:val="000000"/>
                <w:shd w:val="solid" w:color="FFFFFF" w:fill="auto"/>
              </w:rPr>
              <w:t>must be present for the group work to obtain credit</w:t>
            </w:r>
            <w:r>
              <w:rPr>
                <w:rFonts w:ascii="Arial" w:eastAsia="Arial" w:hAnsi="Arial" w:cs="Arial"/>
                <w:color w:val="000000"/>
                <w:shd w:val="solid" w:color="FFFFFF" w:fill="auto"/>
              </w:rPr>
              <w:t>. Please see class schedule for assignments and due dates.  </w:t>
            </w:r>
          </w:p>
          <w:p w:rsidR="00356E5C" w:rsidRDefault="00B54166">
            <w:r>
              <w:rPr>
                <w:rFonts w:ascii="Arial" w:eastAsia="Arial" w:hAnsi="Arial" w:cs="Arial"/>
                <w:color w:val="000000"/>
                <w:shd w:val="solid" w:color="FFFFFF" w:fill="auto"/>
              </w:rPr>
              <w:t> </w:t>
            </w:r>
          </w:p>
          <w:p w:rsidR="00356E5C" w:rsidRDefault="00B54166">
            <w:pPr>
              <w:rPr>
                <w:rFonts w:ascii="Arial" w:eastAsia="Arial" w:hAnsi="Arial" w:cs="Arial"/>
                <w:color w:val="000000"/>
                <w:sz w:val="20"/>
                <w:shd w:val="solid" w:color="FFFFFF" w:fill="auto"/>
              </w:rPr>
            </w:pPr>
            <w:r>
              <w:rPr>
                <w:rFonts w:ascii="Arial" w:eastAsia="Arial" w:hAnsi="Arial" w:cs="Arial"/>
                <w:color w:val="000000"/>
                <w:shd w:val="solid" w:color="FFFFFF" w:fill="auto"/>
              </w:rPr>
              <w:t> No points will be awarded for late assignments, but all assignments must be submitted for course requirements</w:t>
            </w:r>
            <w:r>
              <w:rPr>
                <w:rFonts w:ascii="Arial" w:eastAsia="Arial" w:hAnsi="Arial" w:cs="Arial"/>
                <w:color w:val="000000"/>
                <w:sz w:val="20"/>
                <w:shd w:val="solid" w:color="FFFFFF" w:fill="auto"/>
              </w:rPr>
              <w:t>.</w:t>
            </w:r>
          </w:p>
          <w:p w:rsidR="00FF187C" w:rsidRPr="00FF187C" w:rsidRDefault="00FF187C">
            <w:pPr>
              <w:rPr>
                <w:rFonts w:ascii="Arial" w:eastAsia="Arial" w:hAnsi="Arial" w:cs="Arial"/>
                <w:b/>
                <w:color w:val="000000"/>
                <w:sz w:val="24"/>
                <w:szCs w:val="24"/>
                <w:shd w:val="solid" w:color="FFFFFF" w:fill="auto"/>
              </w:rPr>
            </w:pPr>
            <w:r w:rsidRPr="00FF187C">
              <w:rPr>
                <w:rFonts w:ascii="Arial" w:eastAsia="Arial" w:hAnsi="Arial" w:cs="Arial"/>
                <w:b/>
                <w:color w:val="000000"/>
                <w:sz w:val="24"/>
                <w:szCs w:val="24"/>
                <w:shd w:val="solid" w:color="FFFFFF" w:fill="auto"/>
              </w:rPr>
              <w:t>All students must register in Shadow Health</w:t>
            </w:r>
          </w:p>
          <w:p w:rsidR="00FF187C" w:rsidRPr="00A8279A" w:rsidRDefault="00FF187C" w:rsidP="00FF187C">
            <w:pPr>
              <w:spacing w:after="0"/>
              <w:rPr>
                <w:rFonts w:ascii="&amp;quot" w:eastAsia="Times New Roman" w:hAnsi="&amp;quot" w:cs="Times New Roman"/>
                <w:color w:val="212121"/>
                <w:sz w:val="23"/>
                <w:szCs w:val="23"/>
              </w:rPr>
            </w:pPr>
            <w:r w:rsidRPr="00A8279A">
              <w:rPr>
                <w:rFonts w:ascii="Tahoma" w:eastAsia="Times New Roman" w:hAnsi="Tahoma" w:cs="Tahoma"/>
                <w:color w:val="000000"/>
                <w:shd w:val="clear" w:color="auto" w:fill="FFEE94"/>
              </w:rPr>
              <w:t>Shadow</w:t>
            </w:r>
            <w:r w:rsidRPr="00A8279A">
              <w:rPr>
                <w:rFonts w:ascii="Tahoma" w:eastAsia="Times New Roman" w:hAnsi="Tahoma" w:cs="Tahoma"/>
                <w:color w:val="000000"/>
              </w:rPr>
              <w:t xml:space="preserve"> </w:t>
            </w:r>
            <w:r w:rsidRPr="00A8279A">
              <w:rPr>
                <w:rFonts w:ascii="Tahoma" w:eastAsia="Times New Roman" w:hAnsi="Tahoma" w:cs="Tahoma"/>
                <w:color w:val="000000"/>
                <w:shd w:val="clear" w:color="auto" w:fill="FFEE94"/>
              </w:rPr>
              <w:t>Health</w:t>
            </w:r>
            <w:r w:rsidRPr="00A8279A">
              <w:rPr>
                <w:rFonts w:ascii="Tahoma" w:eastAsia="Times New Roman" w:hAnsi="Tahoma" w:cs="Tahoma"/>
                <w:color w:val="000000"/>
              </w:rPr>
              <w:t xml:space="preserve"> provides a clinical simulation designed to improve your mental </w:t>
            </w:r>
            <w:r w:rsidRPr="00A8279A">
              <w:rPr>
                <w:rFonts w:ascii="Tahoma" w:eastAsia="Times New Roman" w:hAnsi="Tahoma" w:cs="Tahoma"/>
                <w:color w:val="000000"/>
                <w:shd w:val="clear" w:color="auto" w:fill="FFEE94"/>
              </w:rPr>
              <w:t>health</w:t>
            </w:r>
            <w:r w:rsidRPr="00A8279A">
              <w:rPr>
                <w:rFonts w:ascii="Tahoma" w:eastAsia="Times New Roman" w:hAnsi="Tahoma" w:cs="Tahoma"/>
                <w:color w:val="000000"/>
              </w:rPr>
              <w:t xml:space="preserve"> assessment skills in a safe learning environment. Here are a few things you will need to complete on your first day to ensure you have the smoothest experience possible. Please follow the steps below.</w:t>
            </w:r>
          </w:p>
          <w:p w:rsidR="00FF187C" w:rsidRPr="00A8279A" w:rsidRDefault="00FF187C" w:rsidP="00FF187C">
            <w:pPr>
              <w:spacing w:after="0"/>
              <w:rPr>
                <w:rFonts w:ascii="Times New Roman" w:eastAsia="Times New Roman" w:hAnsi="Times New Roman" w:cs="Times New Roman"/>
                <w:sz w:val="24"/>
                <w:szCs w:val="24"/>
              </w:rPr>
            </w:pPr>
            <w:r w:rsidRPr="00A8279A">
              <w:rPr>
                <w:rFonts w:ascii="&amp;quot" w:eastAsia="Times New Roman" w:hAnsi="&amp;quot" w:cs="Times New Roman"/>
                <w:color w:val="212121"/>
                <w:sz w:val="23"/>
                <w:szCs w:val="23"/>
              </w:rPr>
              <w:br/>
            </w:r>
          </w:p>
          <w:p w:rsidR="00FF187C" w:rsidRPr="00A8279A" w:rsidRDefault="00FF187C" w:rsidP="00FF187C">
            <w:pPr>
              <w:numPr>
                <w:ilvl w:val="0"/>
                <w:numId w:val="14"/>
              </w:numPr>
              <w:shd w:val="clear" w:color="auto" w:fill="FFFFFF"/>
              <w:spacing w:before="100" w:beforeAutospacing="1" w:after="100" w:afterAutospacing="1"/>
              <w:rPr>
                <w:rFonts w:ascii="Arial" w:eastAsia="Times New Roman" w:hAnsi="Arial" w:cs="Arial"/>
                <w:color w:val="000000"/>
                <w:shd w:val="clear" w:color="auto" w:fill="FFFFFF"/>
              </w:rPr>
            </w:pPr>
            <w:r w:rsidRPr="00A8279A">
              <w:rPr>
                <w:rFonts w:ascii="Tahoma" w:eastAsia="Times New Roman" w:hAnsi="Tahoma" w:cs="Tahoma"/>
                <w:b/>
                <w:bCs/>
                <w:color w:val="222222"/>
                <w:shd w:val="clear" w:color="auto" w:fill="FFFFFF"/>
              </w:rPr>
              <w:t xml:space="preserve">Register for the course. </w:t>
            </w:r>
            <w:r w:rsidRPr="00A8279A">
              <w:rPr>
                <w:rFonts w:ascii="Tahoma" w:eastAsia="Times New Roman" w:hAnsi="Tahoma" w:cs="Tahoma"/>
                <w:color w:val="222222"/>
                <w:shd w:val="clear" w:color="auto" w:fill="FFFFFF"/>
              </w:rPr>
              <w:t xml:space="preserve">Navigate to </w:t>
            </w:r>
            <w:hyperlink r:id="rId10" w:tgtFrame="_blank" w:history="1">
              <w:r w:rsidRPr="00A8279A">
                <w:rPr>
                  <w:rFonts w:ascii="Tahoma" w:eastAsia="Times New Roman" w:hAnsi="Tahoma" w:cs="Tahoma"/>
                  <w:color w:val="1155CC"/>
                  <w:u w:val="single"/>
                  <w:shd w:val="clear" w:color="auto" w:fill="FFFFFF"/>
                </w:rPr>
                <w:t>app.</w:t>
              </w:r>
              <w:r w:rsidRPr="00A8279A">
                <w:rPr>
                  <w:rFonts w:ascii="Tahoma" w:eastAsia="Times New Roman" w:hAnsi="Tahoma" w:cs="Tahoma"/>
                  <w:color w:val="1155CC"/>
                  <w:shd w:val="clear" w:color="auto" w:fill="FFEE94"/>
                </w:rPr>
                <w:t>shadowhealth</w:t>
              </w:r>
              <w:r w:rsidRPr="00A8279A">
                <w:rPr>
                  <w:rFonts w:ascii="Tahoma" w:eastAsia="Times New Roman" w:hAnsi="Tahoma" w:cs="Tahoma"/>
                  <w:color w:val="1155CC"/>
                  <w:u w:val="single"/>
                  <w:shd w:val="clear" w:color="auto" w:fill="FFFFFF"/>
                </w:rPr>
                <w:t>.com</w:t>
              </w:r>
            </w:hyperlink>
            <w:r w:rsidRPr="00A8279A">
              <w:rPr>
                <w:rFonts w:ascii="Tahoma" w:eastAsia="Times New Roman" w:hAnsi="Tahoma" w:cs="Tahoma"/>
                <w:color w:val="222222"/>
                <w:shd w:val="clear" w:color="auto" w:fill="FFFFFF"/>
              </w:rPr>
              <w:t xml:space="preserve"> and click “register for student account (or login if you already have a </w:t>
            </w:r>
            <w:r w:rsidRPr="00A8279A">
              <w:rPr>
                <w:rFonts w:ascii="Tahoma" w:eastAsia="Times New Roman" w:hAnsi="Tahoma" w:cs="Tahoma"/>
                <w:color w:val="222222"/>
                <w:shd w:val="clear" w:color="auto" w:fill="FFEE94"/>
              </w:rPr>
              <w:t>Shadow</w:t>
            </w:r>
            <w:r w:rsidRPr="00A8279A">
              <w:rPr>
                <w:rFonts w:ascii="Tahoma" w:eastAsia="Times New Roman" w:hAnsi="Tahoma" w:cs="Tahoma"/>
                <w:color w:val="222222"/>
                <w:shd w:val="clear" w:color="auto" w:fill="FFFFFF"/>
              </w:rPr>
              <w:t xml:space="preserve"> </w:t>
            </w:r>
            <w:r w:rsidRPr="00A8279A">
              <w:rPr>
                <w:rFonts w:ascii="Tahoma" w:eastAsia="Times New Roman" w:hAnsi="Tahoma" w:cs="Tahoma"/>
                <w:color w:val="222222"/>
                <w:shd w:val="clear" w:color="auto" w:fill="FFEE94"/>
              </w:rPr>
              <w:t>Health</w:t>
            </w:r>
            <w:r w:rsidRPr="00A8279A">
              <w:rPr>
                <w:rFonts w:ascii="Tahoma" w:eastAsia="Times New Roman" w:hAnsi="Tahoma" w:cs="Tahoma"/>
                <w:color w:val="222222"/>
                <w:shd w:val="clear" w:color="auto" w:fill="FFFFFF"/>
              </w:rPr>
              <w:t xml:space="preserve"> account) and enter this unique course PIN for the Mental </w:t>
            </w:r>
            <w:r w:rsidRPr="00A8279A">
              <w:rPr>
                <w:rFonts w:ascii="Tahoma" w:eastAsia="Times New Roman" w:hAnsi="Tahoma" w:cs="Tahoma"/>
                <w:color w:val="222222"/>
                <w:shd w:val="clear" w:color="auto" w:fill="FFEE94"/>
              </w:rPr>
              <w:t>Health</w:t>
            </w:r>
            <w:r w:rsidRPr="00A8279A">
              <w:rPr>
                <w:rFonts w:ascii="Tahoma" w:eastAsia="Times New Roman" w:hAnsi="Tahoma" w:cs="Tahoma"/>
                <w:color w:val="222222"/>
                <w:shd w:val="clear" w:color="auto" w:fill="FFFFFF"/>
              </w:rPr>
              <w:t xml:space="preserve"> course:</w:t>
            </w:r>
            <w:r w:rsidRPr="00A8279A">
              <w:rPr>
                <w:rFonts w:ascii="Tahoma" w:eastAsia="Times New Roman" w:hAnsi="Tahoma" w:cs="Tahoma"/>
                <w:b/>
                <w:bCs/>
                <w:color w:val="222222"/>
                <w:shd w:val="clear" w:color="auto" w:fill="FFFFFF"/>
              </w:rPr>
              <w:t xml:space="preserve"> </w:t>
            </w:r>
            <w:r w:rsidRPr="00A8279A">
              <w:rPr>
                <w:rFonts w:ascii="Tahoma" w:eastAsia="Times New Roman" w:hAnsi="Tahoma" w:cs="Tahoma"/>
                <w:b/>
                <w:bCs/>
                <w:color w:val="000000"/>
                <w:shd w:val="clear" w:color="auto" w:fill="FFFF00"/>
              </w:rPr>
              <w:t>[</w:t>
            </w:r>
            <w:r>
              <w:rPr>
                <w:rFonts w:ascii="Tahoma" w:hAnsi="Tahoma" w:cs="Tahoma"/>
                <w:b/>
                <w:bCs/>
                <w:highlight w:val="yellow"/>
                <w:lang w:val="en"/>
              </w:rPr>
              <w:t>1880-2116-8537-4736</w:t>
            </w:r>
            <w:r w:rsidRPr="00A8279A">
              <w:rPr>
                <w:rFonts w:ascii="Tahoma" w:eastAsia="Times New Roman" w:hAnsi="Tahoma" w:cs="Tahoma"/>
                <w:b/>
                <w:bCs/>
                <w:color w:val="000000"/>
                <w:shd w:val="clear" w:color="auto" w:fill="FFFF00"/>
              </w:rPr>
              <w:t xml:space="preserve">] </w:t>
            </w:r>
          </w:p>
          <w:p w:rsidR="00FF187C" w:rsidRPr="00A8279A" w:rsidRDefault="00FF187C" w:rsidP="00FF187C">
            <w:pPr>
              <w:numPr>
                <w:ilvl w:val="0"/>
                <w:numId w:val="14"/>
              </w:numPr>
              <w:shd w:val="clear" w:color="auto" w:fill="FFFFFF"/>
              <w:spacing w:before="100" w:beforeAutospacing="1" w:after="100" w:afterAutospacing="1"/>
              <w:rPr>
                <w:rFonts w:ascii="Arial" w:eastAsia="Times New Roman" w:hAnsi="Arial" w:cs="Arial"/>
                <w:color w:val="000000"/>
                <w:shd w:val="clear" w:color="auto" w:fill="FFFFFF"/>
              </w:rPr>
            </w:pPr>
            <w:r w:rsidRPr="00A8279A">
              <w:rPr>
                <w:rFonts w:ascii="Tahoma" w:eastAsia="Times New Roman" w:hAnsi="Tahoma" w:cs="Tahoma"/>
                <w:b/>
                <w:bCs/>
                <w:color w:val="222222"/>
                <w:shd w:val="clear" w:color="auto" w:fill="FFFFFF"/>
              </w:rPr>
              <w:t>Attend a recommended live student introduction webinar.</w:t>
            </w:r>
            <w:r w:rsidRPr="00A8279A">
              <w:rPr>
                <w:rFonts w:ascii="Tahoma" w:eastAsia="Times New Roman" w:hAnsi="Tahoma" w:cs="Tahoma"/>
                <w:color w:val="222222"/>
                <w:shd w:val="clear" w:color="auto" w:fill="FFFFFF"/>
              </w:rPr>
              <w:t xml:space="preserve"> These student webinars will introduce you to the Digital Clinical Experience, provide you with some tips and tricks for a successful semester, and include a question and answer session. By following this link: </w:t>
            </w:r>
            <w:hyperlink r:id="rId11" w:tgtFrame="_blank" w:history="1">
              <w:r w:rsidRPr="00A8279A">
                <w:rPr>
                  <w:rFonts w:ascii="Tahoma" w:eastAsia="Times New Roman" w:hAnsi="Tahoma" w:cs="Tahoma"/>
                  <w:color w:val="1155CC"/>
                  <w:u w:val="single"/>
                  <w:shd w:val="clear" w:color="auto" w:fill="FFFFFF"/>
                </w:rPr>
                <w:t>http://bit.ly/student-webinar</w:t>
              </w:r>
            </w:hyperlink>
            <w:r w:rsidRPr="00A8279A">
              <w:rPr>
                <w:rFonts w:ascii="Tahoma" w:eastAsia="Times New Roman" w:hAnsi="Tahoma" w:cs="Tahoma"/>
                <w:color w:val="222222"/>
                <w:shd w:val="clear" w:color="auto" w:fill="FFFFFF"/>
              </w:rPr>
              <w:t xml:space="preserve"> you will be able to register for a date and time that works well for your schedule to attend one of these webinars. </w:t>
            </w:r>
          </w:p>
          <w:p w:rsidR="00FF187C" w:rsidRPr="00A8279A" w:rsidRDefault="00FF187C" w:rsidP="00FF187C">
            <w:pPr>
              <w:numPr>
                <w:ilvl w:val="0"/>
                <w:numId w:val="14"/>
              </w:numPr>
              <w:shd w:val="clear" w:color="auto" w:fill="FFFFFF"/>
              <w:spacing w:before="100" w:beforeAutospacing="1" w:after="100" w:afterAutospacing="1"/>
              <w:rPr>
                <w:rFonts w:ascii="Arial" w:eastAsia="Times New Roman" w:hAnsi="Arial" w:cs="Arial"/>
                <w:color w:val="222222"/>
                <w:shd w:val="clear" w:color="auto" w:fill="FFFFFF"/>
              </w:rPr>
            </w:pPr>
            <w:r w:rsidRPr="00A8279A">
              <w:rPr>
                <w:rFonts w:ascii="Tahoma" w:eastAsia="Times New Roman" w:hAnsi="Tahoma" w:cs="Tahoma"/>
                <w:b/>
                <w:bCs/>
                <w:color w:val="222222"/>
                <w:shd w:val="clear" w:color="auto" w:fill="FFFFFF"/>
              </w:rPr>
              <w:t xml:space="preserve">Make sure you use a supported browser. </w:t>
            </w:r>
            <w:r w:rsidRPr="00A8279A">
              <w:rPr>
                <w:rFonts w:ascii="Tahoma" w:eastAsia="Times New Roman" w:hAnsi="Tahoma" w:cs="Tahoma"/>
                <w:color w:val="222222"/>
                <w:shd w:val="clear" w:color="auto" w:fill="FFEE94"/>
              </w:rPr>
              <w:t>Shadow</w:t>
            </w:r>
            <w:r w:rsidRPr="00A8279A">
              <w:rPr>
                <w:rFonts w:ascii="Tahoma" w:eastAsia="Times New Roman" w:hAnsi="Tahoma" w:cs="Tahoma"/>
                <w:color w:val="222222"/>
                <w:shd w:val="clear" w:color="auto" w:fill="FFFFFF"/>
              </w:rPr>
              <w:t xml:space="preserve"> </w:t>
            </w:r>
            <w:r w:rsidRPr="00A8279A">
              <w:rPr>
                <w:rFonts w:ascii="Tahoma" w:eastAsia="Times New Roman" w:hAnsi="Tahoma" w:cs="Tahoma"/>
                <w:color w:val="222222"/>
                <w:shd w:val="clear" w:color="auto" w:fill="FFEE94"/>
              </w:rPr>
              <w:t>Health</w:t>
            </w:r>
            <w:r w:rsidRPr="00A8279A">
              <w:rPr>
                <w:rFonts w:ascii="Tahoma" w:eastAsia="Times New Roman" w:hAnsi="Tahoma" w:cs="Tahoma"/>
                <w:color w:val="222222"/>
                <w:shd w:val="clear" w:color="auto" w:fill="FFFFFF"/>
              </w:rPr>
              <w:t xml:space="preserve"> recommends using Chrome to access your work. However, </w:t>
            </w:r>
            <w:hyperlink r:id="rId12" w:tgtFrame="_blank" w:history="1">
              <w:r w:rsidRPr="00A8279A">
                <w:rPr>
                  <w:rFonts w:ascii="Tahoma" w:eastAsia="Times New Roman" w:hAnsi="Tahoma" w:cs="Tahoma"/>
                  <w:color w:val="1155CC"/>
                  <w:u w:val="single"/>
                  <w:shd w:val="clear" w:color="auto" w:fill="FFFFFF"/>
                </w:rPr>
                <w:t>there are many browsers that you can use</w:t>
              </w:r>
            </w:hyperlink>
            <w:r w:rsidRPr="00A8279A">
              <w:rPr>
                <w:rFonts w:ascii="Tahoma" w:eastAsia="Times New Roman" w:hAnsi="Tahoma" w:cs="Tahoma"/>
                <w:color w:val="222222"/>
                <w:shd w:val="clear" w:color="auto" w:fill="FFFFFF"/>
              </w:rPr>
              <w:t xml:space="preserve"> to access your assignments in </w:t>
            </w:r>
            <w:r w:rsidRPr="00A8279A">
              <w:rPr>
                <w:rFonts w:ascii="Tahoma" w:eastAsia="Times New Roman" w:hAnsi="Tahoma" w:cs="Tahoma"/>
                <w:color w:val="222222"/>
                <w:shd w:val="clear" w:color="auto" w:fill="FFEE94"/>
              </w:rPr>
              <w:t>Shadow</w:t>
            </w:r>
            <w:r w:rsidRPr="00A8279A">
              <w:rPr>
                <w:rFonts w:ascii="Tahoma" w:eastAsia="Times New Roman" w:hAnsi="Tahoma" w:cs="Tahoma"/>
                <w:color w:val="222222"/>
                <w:shd w:val="clear" w:color="auto" w:fill="FFFFFF"/>
              </w:rPr>
              <w:t xml:space="preserve"> </w:t>
            </w:r>
            <w:r w:rsidRPr="00A8279A">
              <w:rPr>
                <w:rFonts w:ascii="Tahoma" w:eastAsia="Times New Roman" w:hAnsi="Tahoma" w:cs="Tahoma"/>
                <w:color w:val="222222"/>
                <w:shd w:val="clear" w:color="auto" w:fill="FFEE94"/>
              </w:rPr>
              <w:t>Health</w:t>
            </w:r>
            <w:r w:rsidRPr="00A8279A">
              <w:rPr>
                <w:rFonts w:ascii="Tahoma" w:eastAsia="Times New Roman" w:hAnsi="Tahoma" w:cs="Tahoma"/>
                <w:color w:val="222222"/>
                <w:shd w:val="clear" w:color="auto" w:fill="FFFFFF"/>
              </w:rPr>
              <w:t xml:space="preserve">. </w:t>
            </w:r>
          </w:p>
          <w:p w:rsidR="00FF187C" w:rsidRPr="00A8279A" w:rsidRDefault="00FF187C" w:rsidP="00FF187C">
            <w:pPr>
              <w:numPr>
                <w:ilvl w:val="0"/>
                <w:numId w:val="14"/>
              </w:numPr>
              <w:shd w:val="clear" w:color="auto" w:fill="FFFFFF"/>
              <w:spacing w:before="100" w:beforeAutospacing="1" w:after="100" w:afterAutospacing="1"/>
              <w:rPr>
                <w:rFonts w:ascii="Tahoma" w:eastAsia="Times New Roman" w:hAnsi="Tahoma" w:cs="Tahoma"/>
                <w:color w:val="222222"/>
                <w:shd w:val="clear" w:color="auto" w:fill="FFFFFF"/>
              </w:rPr>
            </w:pPr>
            <w:r w:rsidRPr="00A8279A">
              <w:rPr>
                <w:rFonts w:ascii="Tahoma" w:eastAsia="Times New Roman" w:hAnsi="Tahoma" w:cs="Tahoma"/>
                <w:b/>
                <w:bCs/>
                <w:color w:val="222222"/>
                <w:shd w:val="clear" w:color="auto" w:fill="FFFFFF"/>
              </w:rPr>
              <w:t>Watch the Introduction Video.</w:t>
            </w:r>
            <w:r w:rsidRPr="00A8279A">
              <w:rPr>
                <w:rFonts w:ascii="Tahoma" w:eastAsia="Times New Roman" w:hAnsi="Tahoma" w:cs="Tahoma"/>
                <w:color w:val="222222"/>
                <w:shd w:val="clear" w:color="auto" w:fill="FFFFFF"/>
              </w:rPr>
              <w:t xml:space="preserve"> If you dismissed the video after registration, it can be watched again by clicking on </w:t>
            </w:r>
            <w:hyperlink r:id="rId13" w:tgtFrame="_blank" w:history="1">
              <w:r w:rsidRPr="00A8279A">
                <w:rPr>
                  <w:rFonts w:ascii="Tahoma" w:eastAsia="Times New Roman" w:hAnsi="Tahoma" w:cs="Tahoma"/>
                  <w:color w:val="1155CC"/>
                  <w:u w:val="single"/>
                  <w:shd w:val="clear" w:color="auto" w:fill="FFFFFF"/>
                </w:rPr>
                <w:t>the link</w:t>
              </w:r>
            </w:hyperlink>
            <w:r w:rsidRPr="00A8279A">
              <w:rPr>
                <w:rFonts w:ascii="Tahoma" w:eastAsia="Times New Roman" w:hAnsi="Tahoma" w:cs="Tahoma"/>
                <w:color w:val="222222"/>
                <w:shd w:val="clear" w:color="auto" w:fill="FFFFFF"/>
              </w:rPr>
              <w:t xml:space="preserve"> from your course overview page. </w:t>
            </w:r>
          </w:p>
          <w:p w:rsidR="00FF187C" w:rsidRPr="00A8279A" w:rsidRDefault="00FF187C" w:rsidP="00FF187C">
            <w:pPr>
              <w:spacing w:after="0"/>
              <w:rPr>
                <w:rFonts w:ascii="Times New Roman" w:eastAsia="Times New Roman" w:hAnsi="Times New Roman" w:cs="Times New Roman"/>
                <w:sz w:val="24"/>
                <w:szCs w:val="24"/>
              </w:rPr>
            </w:pPr>
            <w:r w:rsidRPr="00A8279A">
              <w:rPr>
                <w:rFonts w:ascii="&amp;quot" w:eastAsia="Times New Roman" w:hAnsi="&amp;quot" w:cs="Times New Roman"/>
                <w:color w:val="212121"/>
                <w:sz w:val="23"/>
                <w:szCs w:val="23"/>
              </w:rPr>
              <w:br/>
            </w:r>
          </w:p>
          <w:p w:rsidR="00FF187C" w:rsidRPr="00A8279A" w:rsidRDefault="00FF187C" w:rsidP="00FF187C">
            <w:pPr>
              <w:spacing w:after="0"/>
              <w:rPr>
                <w:rFonts w:ascii="&amp;quot" w:eastAsia="Times New Roman" w:hAnsi="&amp;quot" w:cs="Times New Roman"/>
                <w:color w:val="212121"/>
                <w:sz w:val="23"/>
                <w:szCs w:val="23"/>
              </w:rPr>
            </w:pPr>
            <w:r w:rsidRPr="00A8279A">
              <w:rPr>
                <w:rFonts w:ascii="Tahoma" w:eastAsia="Times New Roman" w:hAnsi="Tahoma" w:cs="Tahoma"/>
                <w:color w:val="222222"/>
                <w:shd w:val="clear" w:color="auto" w:fill="FFFFFF"/>
              </w:rPr>
              <w:t xml:space="preserve">If you have any questions about </w:t>
            </w:r>
            <w:r w:rsidRPr="00A8279A">
              <w:rPr>
                <w:rFonts w:ascii="Tahoma" w:eastAsia="Times New Roman" w:hAnsi="Tahoma" w:cs="Tahoma"/>
                <w:color w:val="222222"/>
                <w:shd w:val="clear" w:color="auto" w:fill="FFEE94"/>
              </w:rPr>
              <w:t>Shadow</w:t>
            </w:r>
            <w:r w:rsidRPr="00A8279A">
              <w:rPr>
                <w:rFonts w:ascii="Tahoma" w:eastAsia="Times New Roman" w:hAnsi="Tahoma" w:cs="Tahoma"/>
                <w:color w:val="222222"/>
                <w:shd w:val="clear" w:color="auto" w:fill="FFFFFF"/>
              </w:rPr>
              <w:t xml:space="preserve"> </w:t>
            </w:r>
            <w:r w:rsidRPr="00A8279A">
              <w:rPr>
                <w:rFonts w:ascii="Tahoma" w:eastAsia="Times New Roman" w:hAnsi="Tahoma" w:cs="Tahoma"/>
                <w:color w:val="222222"/>
                <w:shd w:val="clear" w:color="auto" w:fill="FFEE94"/>
              </w:rPr>
              <w:t>Health</w:t>
            </w:r>
            <w:r w:rsidRPr="00A8279A">
              <w:rPr>
                <w:rFonts w:ascii="Tahoma" w:eastAsia="Times New Roman" w:hAnsi="Tahoma" w:cs="Tahoma"/>
                <w:color w:val="222222"/>
                <w:shd w:val="clear" w:color="auto" w:fill="FFFFFF"/>
              </w:rPr>
              <w:t xml:space="preserve"> throughout the semester, please contact </w:t>
            </w:r>
            <w:r w:rsidRPr="00A8279A">
              <w:rPr>
                <w:rFonts w:ascii="Tahoma" w:eastAsia="Times New Roman" w:hAnsi="Tahoma" w:cs="Tahoma"/>
                <w:color w:val="222222"/>
                <w:shd w:val="clear" w:color="auto" w:fill="FFEE94"/>
              </w:rPr>
              <w:t>Shadow</w:t>
            </w:r>
            <w:r w:rsidRPr="00A8279A">
              <w:rPr>
                <w:rFonts w:ascii="Tahoma" w:eastAsia="Times New Roman" w:hAnsi="Tahoma" w:cs="Tahoma"/>
                <w:color w:val="222222"/>
                <w:shd w:val="clear" w:color="auto" w:fill="FFFFFF"/>
              </w:rPr>
              <w:t xml:space="preserve"> </w:t>
            </w:r>
            <w:r w:rsidRPr="00A8279A">
              <w:rPr>
                <w:rFonts w:ascii="Tahoma" w:eastAsia="Times New Roman" w:hAnsi="Tahoma" w:cs="Tahoma"/>
                <w:color w:val="222222"/>
                <w:shd w:val="clear" w:color="auto" w:fill="FFEE94"/>
              </w:rPr>
              <w:t>Health</w:t>
            </w:r>
            <w:r w:rsidRPr="00A8279A">
              <w:rPr>
                <w:rFonts w:ascii="Tahoma" w:eastAsia="Times New Roman" w:hAnsi="Tahoma" w:cs="Tahoma"/>
                <w:color w:val="222222"/>
                <w:shd w:val="clear" w:color="auto" w:fill="FFFFFF"/>
              </w:rPr>
              <w:t xml:space="preserve">’s fantastic Support Center by emailing </w:t>
            </w:r>
            <w:hyperlink r:id="rId14" w:tgtFrame="_blank" w:history="1">
              <w:r w:rsidRPr="00A8279A">
                <w:rPr>
                  <w:rFonts w:ascii="Tahoma" w:eastAsia="Times New Roman" w:hAnsi="Tahoma" w:cs="Tahoma"/>
                  <w:color w:val="1155CC"/>
                  <w:u w:val="single"/>
                  <w:shd w:val="clear" w:color="auto" w:fill="FFFFFF"/>
                </w:rPr>
                <w:t>support@</w:t>
              </w:r>
              <w:r w:rsidRPr="00A8279A">
                <w:rPr>
                  <w:rFonts w:ascii="Tahoma" w:eastAsia="Times New Roman" w:hAnsi="Tahoma" w:cs="Tahoma"/>
                  <w:color w:val="1155CC"/>
                  <w:u w:val="single"/>
                  <w:shd w:val="clear" w:color="auto" w:fill="FFEE94"/>
                </w:rPr>
                <w:t>shadowhealth</w:t>
              </w:r>
              <w:r w:rsidRPr="00A8279A">
                <w:rPr>
                  <w:rFonts w:ascii="Tahoma" w:eastAsia="Times New Roman" w:hAnsi="Tahoma" w:cs="Tahoma"/>
                  <w:color w:val="1155CC"/>
                  <w:u w:val="single"/>
                  <w:shd w:val="clear" w:color="auto" w:fill="FFFFFF"/>
                </w:rPr>
                <w:t>.com</w:t>
              </w:r>
            </w:hyperlink>
            <w:r w:rsidRPr="00A8279A">
              <w:rPr>
                <w:rFonts w:ascii="Tahoma" w:eastAsia="Times New Roman" w:hAnsi="Tahoma" w:cs="Tahoma"/>
                <w:color w:val="222222"/>
                <w:shd w:val="clear" w:color="auto" w:fill="FFFFFF"/>
              </w:rPr>
              <w:t xml:space="preserve"> or by calling 800.860.3241. </w:t>
            </w:r>
          </w:p>
          <w:p w:rsidR="00FF187C" w:rsidRDefault="00FF187C" w:rsidP="00FF187C">
            <w:r w:rsidRPr="00A8279A">
              <w:rPr>
                <w:rFonts w:ascii="&amp;quot" w:eastAsia="Times New Roman" w:hAnsi="&amp;quot" w:cs="Times New Roman"/>
                <w:color w:val="212121"/>
                <w:sz w:val="23"/>
                <w:szCs w:val="23"/>
              </w:rPr>
              <w:br/>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Extra Credit</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rFonts w:ascii="Arial" w:eastAsia="Arial" w:hAnsi="Arial" w:cs="Arial"/>
                <w:color w:val="000000"/>
                <w:shd w:val="solid" w:color="FFFFFF" w:fill="auto"/>
              </w:rPr>
              <w:t> Extra credit or extra points will not be offered or awarded this course</w:t>
            </w:r>
            <w: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Exams/Testing Policies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Default="00B54166">
            <w:pPr>
              <w:rPr>
                <w:rFonts w:ascii="Arial" w:eastAsia="Arial" w:hAnsi="Arial" w:cs="Arial"/>
                <w:color w:val="000000"/>
                <w:shd w:val="solid" w:color="FFFFFF" w:fill="auto"/>
              </w:rPr>
            </w:pPr>
            <w:r>
              <w:rPr>
                <w:rFonts w:ascii="Arial" w:eastAsia="Arial" w:hAnsi="Arial" w:cs="Arial"/>
                <w:color w:val="000000"/>
                <w:shd w:val="solid" w:color="FFFFFF" w:fill="auto"/>
              </w:rPr>
              <w:t>Please refer to the testing policy in the KCC Nursing Student Handbook.</w:t>
            </w:r>
          </w:p>
          <w:p w:rsidR="00EF5DF5" w:rsidRDefault="00EF5DF5">
            <w:pPr>
              <w:rPr>
                <w:rFonts w:ascii="Arial" w:eastAsia="Arial" w:hAnsi="Arial" w:cs="Arial"/>
                <w:color w:val="000000"/>
                <w:shd w:val="solid" w:color="FFFFFF" w:fill="auto"/>
              </w:rPr>
            </w:pPr>
          </w:p>
          <w:p w:rsidR="00EF5DF5" w:rsidRPr="005527EE" w:rsidRDefault="00EF5DF5" w:rsidP="00FF187C">
            <w:pPr>
              <w:spacing w:after="0"/>
            </w:pP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Dosage Calculation Rules and Standard Rounding Rules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See KCC Nursing Student Handbook.</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Student Review Of Exams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Default="00B54166">
            <w:pPr>
              <w:rPr>
                <w:rFonts w:ascii="Arial" w:eastAsia="Arial" w:hAnsi="Arial" w:cs="Arial"/>
                <w:color w:val="000000"/>
                <w:shd w:val="solid" w:color="FFFFFF" w:fill="auto"/>
              </w:rPr>
            </w:pPr>
            <w:r>
              <w:rPr>
                <w:rFonts w:ascii="Arial" w:eastAsia="Arial" w:hAnsi="Arial" w:cs="Arial"/>
                <w:color w:val="000000"/>
                <w:shd w:val="solid" w:color="FFFFFF" w:fill="auto"/>
              </w:rPr>
              <w:t>See KCC Nursing Student Handbook.</w:t>
            </w:r>
          </w:p>
          <w:p w:rsidR="00FF187C" w:rsidRDefault="00FF187C">
            <w:pPr>
              <w:rPr>
                <w:rFonts w:ascii="Arial" w:eastAsia="Arial" w:hAnsi="Arial" w:cs="Arial"/>
                <w:color w:val="000000"/>
                <w:shd w:val="solid" w:color="FFFFFF" w:fill="auto"/>
              </w:rPr>
            </w:pPr>
          </w:p>
          <w:p w:rsidR="00FF187C" w:rsidRDefault="00FF187C">
            <w:pPr>
              <w:rPr>
                <w:rFonts w:ascii="Arial" w:eastAsia="Arial" w:hAnsi="Arial" w:cs="Arial"/>
                <w:b/>
                <w:color w:val="000000"/>
                <w:sz w:val="24"/>
                <w:szCs w:val="24"/>
                <w:shd w:val="solid" w:color="FFFFFF" w:fill="auto"/>
              </w:rPr>
            </w:pPr>
            <w:r w:rsidRPr="00FF187C">
              <w:rPr>
                <w:rFonts w:ascii="Arial" w:eastAsia="Arial" w:hAnsi="Arial" w:cs="Arial"/>
                <w:b/>
                <w:color w:val="000000"/>
                <w:sz w:val="24"/>
                <w:szCs w:val="24"/>
                <w:shd w:val="solid" w:color="FFFFFF" w:fill="auto"/>
              </w:rPr>
              <w:t>Required Exam Remediation Policy</w:t>
            </w:r>
          </w:p>
          <w:p w:rsidR="00FF187C" w:rsidRPr="00EF5DF5" w:rsidRDefault="00FF187C" w:rsidP="00FF187C">
            <w:pPr>
              <w:spacing w:after="0"/>
              <w:rPr>
                <w:rFonts w:ascii="Calibri" w:eastAsia="Times New Roman" w:hAnsi="Calibri" w:cs="Calibri"/>
                <w:color w:val="000000"/>
                <w:sz w:val="24"/>
                <w:szCs w:val="24"/>
                <w:highlight w:val="yellow"/>
                <w:lang w:bidi="ar-SA"/>
              </w:rPr>
            </w:pPr>
          </w:p>
          <w:p w:rsidR="00FF187C" w:rsidRPr="00FF187C" w:rsidRDefault="00FF187C" w:rsidP="00FF187C">
            <w:pPr>
              <w:spacing w:after="0"/>
              <w:rPr>
                <w:rFonts w:ascii="Arial" w:eastAsia="Times New Roman" w:hAnsi="Arial" w:cs="Arial"/>
                <w:color w:val="000000"/>
                <w:lang w:bidi="ar-SA"/>
              </w:rPr>
            </w:pPr>
            <w:r w:rsidRPr="00FF187C">
              <w:rPr>
                <w:rFonts w:ascii="Arial" w:eastAsia="Times New Roman" w:hAnsi="Arial" w:cs="Arial"/>
                <w:color w:val="000000"/>
                <w:lang w:bidi="ar-SA"/>
              </w:rPr>
              <w:t>1. If a student achieves less than 78% on any examination in a nursing course, the student is required to attend the exam review. If the student is not able to attend the exam review due to a documented scheduling conflict, then he/she is required to schedule a meeting with the professor prior to the next exam. </w:t>
            </w:r>
          </w:p>
          <w:p w:rsidR="00FF187C" w:rsidRPr="00FF187C" w:rsidRDefault="00FF187C" w:rsidP="00FF187C">
            <w:pPr>
              <w:spacing w:after="0"/>
              <w:rPr>
                <w:rFonts w:ascii="Arial" w:eastAsia="Times New Roman" w:hAnsi="Arial" w:cs="Arial"/>
                <w:color w:val="000000"/>
                <w:lang w:bidi="ar-SA"/>
              </w:rPr>
            </w:pPr>
            <w:r w:rsidRPr="00FF187C">
              <w:rPr>
                <w:rFonts w:ascii="Arial" w:eastAsia="Times New Roman" w:hAnsi="Arial" w:cs="Arial"/>
                <w:color w:val="000000"/>
                <w:lang w:bidi="ar-SA"/>
              </w:rPr>
              <w:t>2. If a student achieves less than a 78% on any subsequent examination(s) in a nursing course, the student is required to attend the exam review and schedule a meeting with the professor prior to the next exam. </w:t>
            </w:r>
          </w:p>
          <w:p w:rsidR="00FF187C" w:rsidRPr="00FF187C" w:rsidRDefault="00FF187C">
            <w:pPr>
              <w:rPr>
                <w:b/>
                <w:sz w:val="24"/>
                <w:szCs w:val="24"/>
              </w:rPr>
            </w:pP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 Kaplan Expectations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hd w:val="solid" w:color="FFFFFF" w:fill="auto"/>
            </w:pPr>
            <w:r>
              <w:rPr>
                <w:rFonts w:ascii="Arial" w:eastAsia="Arial" w:hAnsi="Arial" w:cs="Arial"/>
              </w:rPr>
              <w:t>See KCC Nursing Student Handbook.</w:t>
            </w:r>
          </w:p>
          <w:p w:rsidR="00356E5C" w:rsidRDefault="00B54166">
            <w:pPr>
              <w:shd w:val="solid" w:color="FFFFFF" w:fill="auto"/>
            </w:pPr>
            <w:r>
              <w:rPr>
                <w:rFonts w:ascii="Arial" w:eastAsia="Arial" w:hAnsi="Arial" w:cs="Arial"/>
              </w:rPr>
              <w:t> </w:t>
            </w:r>
          </w:p>
          <w:p w:rsidR="00356E5C" w:rsidRDefault="00B54166">
            <w:r>
              <w:rPr>
                <w:rFonts w:ascii="Arial" w:eastAsia="Arial" w:hAnsi="Arial" w:cs="Arial"/>
                <w:color w:val="FF0000"/>
                <w:shd w:val="solid" w:color="FFFFFF" w:fill="auto"/>
              </w:rPr>
              <w:t>  </w:t>
            </w:r>
            <w:r>
              <w:rPr>
                <w:rFonts w:ascii="Arial" w:eastAsia="Arial" w:hAnsi="Arial" w:cs="Arial"/>
                <w:color w:val="000000"/>
                <w:shd w:val="solid" w:color="FFFFFF" w:fill="auto"/>
              </w:rPr>
              <w:t>Practice Kaplan focused exams will be assigned throughout the course as an entrance ticket to your exam (see class schedule). It is required that each student complete their own practice exam  with 78% accuracy or better and bring a copy to class with them on the date they are due to enter the classroom to take the exam. Other assigned practice exams are highly recommended for successful completion of NURS 276 and your licensure exam (NCLEX).</w:t>
            </w:r>
            <w:r>
              <w:rPr>
                <w:rFonts w:ascii="Arial" w:eastAsia="Arial" w:hAnsi="Arial" w:cs="Arial"/>
                <w:color w:val="000000"/>
                <w:shd w:val="solid" w:color="FFFFFF" w:fill="auto"/>
              </w:rPr>
              <w:br/>
            </w:r>
            <w:r>
              <w:rPr>
                <w:rFonts w:ascii="Arial" w:eastAsia="Arial" w:hAnsi="Arial" w:cs="Arial"/>
                <w:color w:val="000000"/>
                <w:shd w:val="solid" w:color="FFFFFF" w:fill="auto"/>
              </w:rPr>
              <w:br/>
              <w:t>On the last simulation/lab day in NURS 276, a Kaplan Integrated Exam will be required to complete the course. It is recommended that each student complete this exam at the 50</w:t>
            </w:r>
            <w:r w:rsidR="007D2616">
              <w:rPr>
                <w:rFonts w:ascii="Arial" w:eastAsia="Arial" w:hAnsi="Arial" w:cs="Arial"/>
                <w:color w:val="000000"/>
                <w:shd w:val="solid" w:color="FFFFFF" w:fill="auto"/>
              </w:rPr>
              <w:t xml:space="preserve">th percentile or higher. </w:t>
            </w:r>
          </w:p>
          <w:p w:rsidR="00356E5C" w:rsidRDefault="00B54166">
            <w:r>
              <w:rPr>
                <w:rFonts w:ascii="Arial" w:eastAsia="Arial" w:hAnsi="Arial" w:cs="Arial"/>
                <w:color w:val="000000"/>
                <w:shd w:val="solid" w:color="FFFFFF" w:fill="auto"/>
              </w:rPr>
              <w:t> </w:t>
            </w:r>
          </w:p>
          <w:p w:rsidR="007D2616" w:rsidRPr="007D2616" w:rsidRDefault="00B54166" w:rsidP="007D2616">
            <w:pPr>
              <w:pStyle w:val="ListParagraph"/>
              <w:numPr>
                <w:ilvl w:val="0"/>
                <w:numId w:val="15"/>
              </w:numPr>
              <w:rPr>
                <w:rFonts w:eastAsia="Arial"/>
                <w:color w:val="000000"/>
                <w:sz w:val="22"/>
                <w:szCs w:val="22"/>
                <w:shd w:val="solid" w:color="FFFFFF" w:fill="auto"/>
              </w:rPr>
            </w:pPr>
            <w:r w:rsidRPr="007D2616">
              <w:rPr>
                <w:rFonts w:eastAsia="Arial"/>
                <w:color w:val="000000"/>
                <w:sz w:val="22"/>
                <w:szCs w:val="22"/>
                <w:shd w:val="solid" w:color="FFFFFF" w:fill="auto"/>
              </w:rPr>
              <w:t>On the final exam, students will have the opportunity to earn points vi</w:t>
            </w:r>
            <w:r w:rsidR="007D2616" w:rsidRPr="007D2616">
              <w:rPr>
                <w:rFonts w:eastAsia="Arial"/>
                <w:color w:val="000000"/>
                <w:sz w:val="22"/>
                <w:szCs w:val="22"/>
                <w:shd w:val="solid" w:color="FFFFFF" w:fill="auto"/>
              </w:rPr>
              <w:t>a the Kaplan Integrated exam.  </w:t>
            </w:r>
          </w:p>
          <w:p w:rsidR="007D2616" w:rsidRPr="00330A61" w:rsidRDefault="00421980" w:rsidP="007D2616">
            <w:pPr>
              <w:pStyle w:val="ListParagraph"/>
              <w:numPr>
                <w:ilvl w:val="0"/>
                <w:numId w:val="15"/>
              </w:numPr>
              <w:rPr>
                <w:rFonts w:eastAsia="Arial"/>
                <w:color w:val="000000"/>
                <w:sz w:val="22"/>
                <w:szCs w:val="22"/>
                <w:shd w:val="solid" w:color="FFFFFF" w:fill="auto"/>
              </w:rPr>
            </w:pPr>
            <w:r w:rsidRPr="00330A61">
              <w:rPr>
                <w:sz w:val="22"/>
                <w:szCs w:val="22"/>
              </w:rPr>
              <w:t>If a student passes their comprehensive final with 78%, or higher, meet</w:t>
            </w:r>
            <w:r w:rsidR="00330A61" w:rsidRPr="00330A61">
              <w:rPr>
                <w:sz w:val="22"/>
                <w:szCs w:val="22"/>
              </w:rPr>
              <w:t>s</w:t>
            </w:r>
            <w:r w:rsidRPr="00330A61">
              <w:rPr>
                <w:sz w:val="22"/>
                <w:szCs w:val="22"/>
              </w:rPr>
              <w:t xml:space="preserve"> the 50</w:t>
            </w:r>
            <w:r w:rsidRPr="00330A61">
              <w:rPr>
                <w:sz w:val="22"/>
                <w:szCs w:val="22"/>
                <w:vertAlign w:val="superscript"/>
              </w:rPr>
              <w:t>th</w:t>
            </w:r>
            <w:r w:rsidR="00330A61" w:rsidRPr="00330A61">
              <w:rPr>
                <w:sz w:val="22"/>
                <w:szCs w:val="22"/>
              </w:rPr>
              <w:t xml:space="preserve"> Percentile Kaplan I</w:t>
            </w:r>
            <w:r w:rsidRPr="00330A61">
              <w:rPr>
                <w:sz w:val="22"/>
                <w:szCs w:val="22"/>
              </w:rPr>
              <w:t>ntegrated Exam Benchmark and reviews the exam for 30 minutes, 1% additional will be added to their comprehensive final exam.</w:t>
            </w:r>
          </w:p>
          <w:p w:rsidR="00421980" w:rsidRPr="00330A61" w:rsidRDefault="00421980" w:rsidP="007D2616">
            <w:pPr>
              <w:pStyle w:val="ListParagraph"/>
              <w:numPr>
                <w:ilvl w:val="0"/>
                <w:numId w:val="15"/>
              </w:numPr>
              <w:rPr>
                <w:rFonts w:eastAsia="Arial"/>
                <w:color w:val="000000"/>
                <w:sz w:val="22"/>
                <w:szCs w:val="22"/>
                <w:shd w:val="solid" w:color="FFFFFF" w:fill="auto"/>
              </w:rPr>
            </w:pPr>
            <w:r w:rsidRPr="00330A61">
              <w:rPr>
                <w:sz w:val="22"/>
                <w:szCs w:val="22"/>
              </w:rPr>
              <w:t>If a student passes their comprehensive final with a 78% but does not meet the 50% Percentile Kaplan Integrated Exam Benchmark but reviews the exam for 30 minutes, 1/2 % additional will be added to their comprehensive final exam.</w:t>
            </w:r>
          </w:p>
          <w:p w:rsidR="00421980" w:rsidRDefault="00421980">
            <w:pPr>
              <w:rPr>
                <w:rFonts w:ascii="Arial" w:eastAsia="Arial" w:hAnsi="Arial" w:cs="Arial"/>
                <w:color w:val="000000"/>
                <w:shd w:val="solid" w:color="FFFFFF" w:fill="auto"/>
              </w:rPr>
            </w:pPr>
          </w:p>
          <w:p w:rsidR="00421980" w:rsidRDefault="00421980"/>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Attendance</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B1344E" w:rsidRDefault="00B54166">
            <w:pPr>
              <w:shd w:val="solid" w:color="FFFFFF" w:fill="auto"/>
              <w:spacing w:after="240"/>
            </w:pPr>
            <w:r w:rsidRPr="00B1344E">
              <w:rPr>
                <w:rFonts w:ascii="Arial" w:eastAsia="Arial" w:hAnsi="Arial" w:cs="Arial"/>
              </w:rPr>
              <w:t>Regular attendance is an essential part of your educational experience and a requirement for an adequate evaluati</w:t>
            </w:r>
            <w:r w:rsidR="00B1344E">
              <w:rPr>
                <w:rFonts w:ascii="Arial" w:eastAsia="Arial" w:hAnsi="Arial" w:cs="Arial"/>
              </w:rPr>
              <w:t>on of your academic progress.  E</w:t>
            </w:r>
            <w:r w:rsidRPr="00B1344E">
              <w:rPr>
                <w:rFonts w:ascii="Arial" w:eastAsia="Arial" w:hAnsi="Arial" w:cs="Arial"/>
              </w:rPr>
              <w:t>xcessive absences is reported to the Academic Advising department.  An Advisor will reach out to you to discuss options for your success.  Continued absenteeism may lead to administrative action.  Faculty are required to report to the Financial Aid office  students who have never attended class  Federal aid may be reduced if you do not begin attendance in all classes.  This includes online courses.  For more information, please visit:  http:// www.kellogg.edu/wp-content/uploads/2017/08/KCC-Handbook-2017-2018.pdf.</w:t>
            </w:r>
          </w:p>
          <w:p w:rsidR="00356E5C" w:rsidRPr="00B1344E" w:rsidRDefault="00B54166">
            <w:pPr>
              <w:shd w:val="solid" w:color="FFFFFF" w:fill="auto"/>
              <w:spacing w:after="240"/>
            </w:pPr>
            <w:r w:rsidRPr="00B1344E">
              <w:rPr>
                <w:rFonts w:ascii="Arial" w:eastAsia="Arial" w:hAnsi="Arial" w:cs="Arial"/>
              </w:rPr>
              <w:t>See KCC Nursing and Student Handbooks.</w:t>
            </w:r>
          </w:p>
          <w:p w:rsidR="00356E5C" w:rsidRDefault="003C1DEC">
            <w:pPr>
              <w:spacing w:after="280" w:afterAutospacing="1"/>
              <w:rPr>
                <w:rFonts w:ascii="Arial" w:eastAsia="Arial" w:hAnsi="Arial" w:cs="Arial"/>
              </w:rPr>
            </w:pPr>
            <w:r>
              <w:rPr>
                <w:rFonts w:ascii="Arial" w:eastAsia="Arial" w:hAnsi="Arial" w:cs="Arial"/>
              </w:rPr>
              <w:t>This is a 7</w:t>
            </w:r>
            <w:r w:rsidR="00B1344E">
              <w:rPr>
                <w:rFonts w:ascii="Arial" w:eastAsia="Arial" w:hAnsi="Arial" w:cs="Arial"/>
              </w:rPr>
              <w:t xml:space="preserve"> 1/2</w:t>
            </w:r>
            <w:r w:rsidR="00B54166">
              <w:rPr>
                <w:rFonts w:ascii="Arial" w:eastAsia="Arial" w:hAnsi="Arial" w:cs="Arial"/>
              </w:rPr>
              <w:t xml:space="preserve"> week course and every session is important. </w:t>
            </w:r>
            <w:r w:rsidR="00B54166">
              <w:rPr>
                <w:rFonts w:ascii="Arial" w:eastAsia="Arial" w:hAnsi="Arial" w:cs="Arial"/>
                <w:b/>
                <w:bCs/>
              </w:rPr>
              <w:t>You are required to contact your instructor </w:t>
            </w:r>
            <w:r w:rsidR="00B54166">
              <w:rPr>
                <w:rFonts w:ascii="Arial" w:eastAsia="Arial" w:hAnsi="Arial" w:cs="Arial"/>
              </w:rPr>
              <w:t>if you miss class via email, or voicemail the day of your absence. Plan your schedule so that you can be present for scheduled class sessions and manage your time so that you can complete your assessments on or before the date they are due. If you do miss a class, identify what you have missed and obtain handouts or other learning materials that were distributed during your absence. If you're learning plan indicates that you missed interactive, applied, or group learning activities, meet with a peer to discuss what material was missed. </w:t>
            </w:r>
            <w:r w:rsidR="00B54166">
              <w:rPr>
                <w:rFonts w:ascii="Arial" w:eastAsia="Arial" w:hAnsi="Arial" w:cs="Arial"/>
              </w:rPr>
              <w:br/>
            </w:r>
            <w:r w:rsidR="00B54166">
              <w:br/>
            </w:r>
            <w:r w:rsidR="00B54166" w:rsidRPr="00B1344E">
              <w:rPr>
                <w:rFonts w:ascii="Arial" w:eastAsia="Arial" w:hAnsi="Arial" w:cs="Arial"/>
              </w:rPr>
              <w:t>Please be on time to class, do not be tardy. Do not leave early. Please notify your instructor if extenuating circumstances occur that you need to leave class.</w:t>
            </w:r>
            <w:r w:rsidR="00B54166" w:rsidRPr="00B1344E">
              <w:br/>
            </w:r>
            <w:r w:rsidR="00B54166" w:rsidRPr="00B1344E">
              <w:br/>
            </w:r>
            <w:r w:rsidR="00B54166" w:rsidRPr="00B1344E">
              <w:rPr>
                <w:rFonts w:ascii="Arial" w:eastAsia="Arial" w:hAnsi="Arial" w:cs="Arial"/>
              </w:rPr>
              <w:t>It is the right of the instructor to place the student on a learning contract if tardiness or absences become excessive and disruptive to the success of the student (or other students) striving to obtain the learning objectives for this course. This could result in course failure. It is an expectation that student attend all class sessions.</w:t>
            </w:r>
            <w:r w:rsidR="00B54166">
              <w:t xml:space="preserve"> </w:t>
            </w:r>
          </w:p>
          <w:p w:rsidR="00356E5C" w:rsidRDefault="00B54166" w:rsidP="00B1344E">
            <w:r>
              <w:rPr>
                <w:rFonts w:ascii="Arial" w:eastAsia="Arial" w:hAnsi="Arial" w:cs="Arial"/>
              </w:rPr>
              <w:br/>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Clinical/Lab/</w:t>
            </w:r>
            <w:r w:rsidR="00B1344E" w:rsidRPr="005527EE">
              <w:t>Simulation</w:t>
            </w:r>
            <w:r w:rsidRPr="005527EE">
              <w:t xml:space="preserve"> Attendance</w:t>
            </w:r>
          </w:p>
        </w:tc>
      </w:tr>
      <w:tr w:rsidR="00356E5C" w:rsidTr="00304E62">
        <w:trPr>
          <w:gridBefore w:val="1"/>
          <w:wBefore w:w="108" w:type="dxa"/>
        </w:trPr>
        <w:tc>
          <w:tcPr>
            <w:tcW w:w="11000" w:type="dxa"/>
            <w:gridSpan w:val="4"/>
            <w:tcBorders>
              <w:top w:val="nil"/>
              <w:left w:val="nil"/>
              <w:bottom w:val="nil"/>
              <w:right w:val="nil"/>
            </w:tcBorders>
            <w:tcMar>
              <w:bottom w:w="120" w:type="dxa"/>
            </w:tcMar>
          </w:tcPr>
          <w:tbl>
            <w:tblPr>
              <w:tblW w:w="4260" w:type="dxa"/>
              <w:tblCellSpacing w:w="15" w:type="dxa"/>
              <w:tblLayout w:type="fixed"/>
              <w:tblCellMar>
                <w:left w:w="0" w:type="dxa"/>
                <w:right w:w="0" w:type="dxa"/>
              </w:tblCellMar>
              <w:tblLook w:val="04A0" w:firstRow="1" w:lastRow="0" w:firstColumn="1" w:lastColumn="0" w:noHBand="0" w:noVBand="1"/>
            </w:tblPr>
            <w:tblGrid>
              <w:gridCol w:w="4260"/>
            </w:tblGrid>
            <w:tr w:rsidR="00356E5C">
              <w:trPr>
                <w:tblCellSpacing w:w="15" w:type="dxa"/>
              </w:trPr>
              <w:tc>
                <w:tcPr>
                  <w:tcW w:w="4170" w:type="dxa"/>
                  <w:tcBorders>
                    <w:top w:val="nil"/>
                    <w:left w:val="nil"/>
                    <w:bottom w:val="nil"/>
                    <w:right w:val="nil"/>
                  </w:tcBorders>
                  <w:shd w:val="clear" w:color="auto" w:fill="auto"/>
                  <w:tcMar>
                    <w:top w:w="15" w:type="dxa"/>
                    <w:left w:w="15" w:type="dxa"/>
                    <w:bottom w:w="15" w:type="dxa"/>
                    <w:right w:w="15" w:type="dxa"/>
                  </w:tcMar>
                </w:tcPr>
                <w:p w:rsidR="00356E5C" w:rsidRDefault="00B54166">
                  <w:pPr>
                    <w:spacing w:after="0"/>
                  </w:pPr>
                  <w:r>
                    <w:t>See KCC Student and KCC Nursing Student Handbooks.</w:t>
                  </w:r>
                </w:p>
              </w:tc>
            </w:tr>
          </w:tbl>
          <w:p w:rsidR="00356E5C" w:rsidRDefault="00356E5C"/>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Drop/Add Procedure</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pacing w:after="280" w:afterAutospacing="1"/>
            </w:pPr>
            <w:r>
              <w:t>Drop/Add procedural information may be found at: http://www.kellogg.edu/catalog. The drop/add dates for every course may be found on the KCC web site at: www.kellogg.edu follow the schedule link.  Contact the nursing department regarding drop/add in the nursing department.  </w:t>
            </w:r>
          </w:p>
          <w:p w:rsidR="00356E5C" w:rsidRDefault="00B54166">
            <w: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Incomplete Grade and Additional Grading Policies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 xml:space="preserve">For information regarding additional grading policies, please visit the KCC catalog at: http://www.kellogg.edu/catalog  </w:t>
            </w:r>
          </w:p>
          <w:p w:rsidR="00356E5C" w:rsidRDefault="00B54166">
            <w: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Clinical Expectations</w:t>
            </w:r>
            <w:r w:rsidR="00B1344E">
              <w:t xml:space="preserve"> </w:t>
            </w:r>
            <w:r w:rsidRPr="005527EE">
              <w:t>and Assignments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hd w:val="solid" w:color="FFFFFF" w:fill="auto"/>
              <w:spacing w:after="0"/>
            </w:pPr>
            <w:r>
              <w:rPr>
                <w:rFonts w:ascii="Arial" w:eastAsia="Arial" w:hAnsi="Arial" w:cs="Arial"/>
              </w:rPr>
              <w:t>See KCC Student and KCC Nursing Student Handbook.</w:t>
            </w:r>
          </w:p>
          <w:p w:rsidR="00356E5C" w:rsidRDefault="00B54166">
            <w:pPr>
              <w:shd w:val="solid" w:color="FFFFFF" w:fill="auto"/>
              <w:spacing w:after="0"/>
            </w:pPr>
            <w:r>
              <w:rPr>
                <w:rFonts w:ascii="Arial" w:eastAsia="Arial" w:hAnsi="Arial" w:cs="Arial"/>
              </w:rPr>
              <w:t> </w:t>
            </w:r>
          </w:p>
          <w:p w:rsidR="00356E5C" w:rsidRDefault="00B54166">
            <w:pPr>
              <w:shd w:val="solid" w:color="FFFFFF" w:fill="auto"/>
              <w:spacing w:after="0"/>
            </w:pPr>
            <w:r>
              <w:rPr>
                <w:rFonts w:ascii="Arial" w:eastAsia="Arial" w:hAnsi="Arial" w:cs="Arial"/>
              </w:rPr>
              <w:t>This semester your performance should build on the previous ones. You must show clinical growth and be able to meet the objectives to continue toward graduation.</w:t>
            </w:r>
          </w:p>
          <w:p w:rsidR="00356E5C" w:rsidRDefault="00B54166">
            <w:pPr>
              <w:rPr>
                <w:rFonts w:ascii="Arial" w:eastAsia="Arial" w:hAnsi="Arial" w:cs="Arial"/>
                <w:color w:val="000000"/>
                <w:shd w:val="solid" w:color="FFFFFF" w:fill="auto"/>
              </w:rPr>
            </w:pPr>
            <w:r>
              <w:rPr>
                <w:rFonts w:ascii="Arial" w:eastAsia="Arial" w:hAnsi="Arial" w:cs="Arial"/>
                <w:color w:val="000000"/>
                <w:shd w:val="solid" w:color="FFFFFF" w:fill="auto"/>
              </w:rPr>
              <w:br/>
              <w:t>You should NOT perform any procedure alone until your instructor approves it. Each instructor needs to be assured that you are competent to do the skill, even if you had performed that skill last semester.  You are responsible for communicating your learning needs. If you need to practice clinical skills from last year then you need to take the initiative and go into the open lab and practice. It is an expectation that all skills learned in previous clinical rotations and labs will be able to be performed competently. If you do not feel comfortable with any of the skills previously learned it is expected that you will go to and open lab and review and practice it before coming to clinical. It is expected that any and all skills learned previously could be completed in the clinical setting from the first day of clinical. </w:t>
            </w:r>
            <w:r>
              <w:rPr>
                <w:rFonts w:ascii="Arial" w:eastAsia="Arial" w:hAnsi="Arial" w:cs="Arial"/>
                <w:color w:val="000000"/>
                <w:shd w:val="solid" w:color="FFFFFF" w:fill="auto"/>
              </w:rPr>
              <w:br/>
            </w:r>
            <w:r>
              <w:rPr>
                <w:rFonts w:ascii="Arial" w:eastAsia="Arial" w:hAnsi="Arial" w:cs="Arial"/>
                <w:color w:val="000000"/>
                <w:shd w:val="solid" w:color="FFFFFF" w:fill="auto"/>
              </w:rPr>
              <w:br/>
              <w:t>No medications are to be given in the clinical setting for NURS 276.</w:t>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color w:val="000000"/>
                <w:shd w:val="solid" w:color="FFFFFF" w:fill="auto"/>
              </w:rPr>
              <w:br/>
            </w:r>
            <w:r>
              <w:rPr>
                <w:rFonts w:ascii="Arial" w:eastAsia="Arial" w:hAnsi="Arial" w:cs="Arial"/>
                <w:b/>
                <w:bCs/>
                <w:color w:val="000000"/>
                <w:shd w:val="solid" w:color="FFFFFF" w:fill="auto"/>
              </w:rPr>
              <w:t>All simulation preparation must be completed prior to coming to simulation</w:t>
            </w:r>
            <w:r>
              <w:rPr>
                <w:rFonts w:ascii="Arial" w:eastAsia="Arial" w:hAnsi="Arial" w:cs="Arial"/>
                <w:color w:val="000000"/>
                <w:shd w:val="solid" w:color="FFFFFF" w:fill="auto"/>
              </w:rPr>
              <w:t>. A simulation tab will be noted on Moodle with instructions on what needs to be completed for each simulation. All simulation preparatory questions must be typed out and handed in upon arrival to simulation day. It is the student's responsibility to arrive on time to the lab with all required materials. It is the student's responsibility to have all material printed and ready to hand in promptly at 0800 on the day of simulation. Simulation day is a clinical day and clinical attire is required. </w:t>
            </w:r>
            <w:r>
              <w:rPr>
                <w:rFonts w:ascii="Arial" w:eastAsia="Arial" w:hAnsi="Arial" w:cs="Arial"/>
                <w:color w:val="000000"/>
                <w:shd w:val="solid" w:color="FFFFFF" w:fill="auto"/>
              </w:rPr>
              <w:br/>
            </w:r>
            <w:r>
              <w:rPr>
                <w:rFonts w:ascii="Arial" w:eastAsia="Arial" w:hAnsi="Arial" w:cs="Arial"/>
                <w:color w:val="000000"/>
                <w:shd w:val="solid" w:color="FFFFFF" w:fill="auto"/>
              </w:rPr>
              <w:br/>
              <w:t>There will be new clinical skills/procedures that will be introduced in this course. You will get some information and skills practice in simulation and at the clinical site where you will be able to practice using agency specific equipment. In order to build proficiency and competency you will be expected to come to open lab with a peer and practice these new skills. It will be your responsibility to set these times up and to go in and practice. </w:t>
            </w:r>
            <w:r>
              <w:rPr>
                <w:rFonts w:ascii="Arial" w:eastAsia="Arial" w:hAnsi="Arial" w:cs="Arial"/>
                <w:color w:val="000000"/>
                <w:shd w:val="solid" w:color="FFFFFF" w:fill="auto"/>
              </w:rPr>
              <w:br/>
            </w:r>
            <w:r>
              <w:rPr>
                <w:rFonts w:ascii="Arial" w:eastAsia="Arial" w:hAnsi="Arial" w:cs="Arial"/>
                <w:color w:val="000000"/>
                <w:shd w:val="solid" w:color="FFFFFF" w:fill="auto"/>
              </w:rPr>
              <w:br/>
              <w:t>All required clinical assignments must be completed satisfactorily to successfully complete NURS 276. The student is required to successfully complete 2 concept maps during this semester. If the student is not successful when completing the concept map on the first attempt a learning contract will be initiated by the clinical instructor and the classroom instructor notified. The student will only be allowed one revision after the first attempt to successfully complete the concept map. It is the student's responsibility to meet with the clinical instructor if they have questions and need assistance with revisions. Failure to complete the concept map successfully will result in clinical failure.</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FF187C">
            <w:pPr>
              <w:pStyle w:val="Heading3"/>
            </w:pP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356E5C" w:rsidRDefault="00356E5C">
            <w:pPr>
              <w:shd w:val="solid" w:color="FFFFFF" w:fill="auto"/>
              <w:spacing w:after="0"/>
            </w:pP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Clinical Evaluations and Performance</w:t>
            </w:r>
          </w:p>
        </w:tc>
      </w:tr>
      <w:tr w:rsidR="00356E5C" w:rsidTr="00304E62">
        <w:trPr>
          <w:gridAfter w:val="2"/>
          <w:wAfter w:w="108" w:type="dxa"/>
        </w:trPr>
        <w:tc>
          <w:tcPr>
            <w:tcW w:w="11000" w:type="dxa"/>
            <w:gridSpan w:val="3"/>
            <w:tcBorders>
              <w:top w:val="nil"/>
              <w:left w:val="nil"/>
              <w:bottom w:val="nil"/>
              <w:right w:val="nil"/>
            </w:tcBorders>
            <w:tcMar>
              <w:bottom w:w="120" w:type="dxa"/>
            </w:tcMar>
          </w:tcPr>
          <w:p w:rsidR="00FF187C" w:rsidRPr="00330A61" w:rsidRDefault="00B54166" w:rsidP="00304E62">
            <w:pPr>
              <w:pStyle w:val="NormalWeb"/>
              <w:spacing w:after="0" w:line="280" w:lineRule="atLeast"/>
              <w:ind w:left="2160" w:hanging="2160"/>
              <w:rPr>
                <w:rFonts w:ascii="Calibri" w:eastAsia="Times New Roman" w:hAnsi="Calibri" w:cs="Calibri"/>
                <w:color w:val="000000"/>
              </w:rPr>
            </w:pPr>
            <w:r w:rsidRPr="00330A61">
              <w:rPr>
                <w:rFonts w:ascii="Arial" w:eastAsia="Arial" w:hAnsi="Arial" w:cs="Arial"/>
                <w:color w:val="000000"/>
                <w:shd w:val="solid" w:color="FFFFFF" w:fill="auto"/>
              </w:rPr>
              <w:t>Please refer to the KCC Nursing Student Handbook for specifics relate</w:t>
            </w:r>
            <w:r w:rsidR="00304E62" w:rsidRPr="00330A61">
              <w:rPr>
                <w:rFonts w:ascii="Arial" w:eastAsia="Arial" w:hAnsi="Arial" w:cs="Arial"/>
                <w:color w:val="000000"/>
                <w:shd w:val="solid" w:color="FFFFFF" w:fill="auto"/>
              </w:rPr>
              <w:t xml:space="preserve">d to clinical. Students will be </w:t>
            </w:r>
            <w:r w:rsidRPr="00330A61">
              <w:rPr>
                <w:rFonts w:ascii="Arial" w:eastAsia="Arial" w:hAnsi="Arial" w:cs="Arial"/>
                <w:color w:val="000000"/>
                <w:shd w:val="solid" w:color="FFFFFF" w:fill="auto"/>
              </w:rPr>
              <w:t>held to the standards and expectations as stated in the handbook. </w:t>
            </w:r>
            <w:r w:rsidRPr="00330A61">
              <w:br/>
            </w:r>
            <w:r w:rsidRPr="00330A61">
              <w:br/>
            </w:r>
            <w:r w:rsidRPr="00330A61">
              <w:rPr>
                <w:rFonts w:ascii="Arial" w:eastAsia="Arial" w:hAnsi="Arial" w:cs="Arial"/>
                <w:color w:val="FF0000"/>
                <w:shd w:val="solid" w:color="FFFFFF" w:fill="auto"/>
              </w:rPr>
              <w:t>  </w:t>
            </w:r>
            <w:r w:rsidRPr="00330A61">
              <w:rPr>
                <w:rFonts w:ascii="Arial" w:eastAsia="Arial" w:hAnsi="Arial" w:cs="Arial"/>
                <w:color w:val="000000"/>
                <w:shd w:val="solid" w:color="FFFFFF" w:fill="auto"/>
              </w:rPr>
              <w:t>St</w:t>
            </w:r>
            <w:r w:rsidR="00831AD0" w:rsidRPr="00330A61">
              <w:rPr>
                <w:rFonts w:ascii="Arial" w:eastAsia="Arial" w:hAnsi="Arial" w:cs="Arial"/>
                <w:color w:val="000000"/>
                <w:shd w:val="solid" w:color="FFFFFF" w:fill="auto"/>
              </w:rPr>
              <w:t>udents will need to complete a self-e</w:t>
            </w:r>
            <w:r w:rsidRPr="00330A61">
              <w:rPr>
                <w:rFonts w:ascii="Arial" w:eastAsia="Arial" w:hAnsi="Arial" w:cs="Arial"/>
                <w:color w:val="000000"/>
                <w:shd w:val="solid" w:color="FFFFFF" w:fill="auto"/>
              </w:rPr>
              <w:t xml:space="preserve">valuation of their </w:t>
            </w:r>
            <w:r w:rsidR="007D2616" w:rsidRPr="00330A61">
              <w:rPr>
                <w:rFonts w:ascii="Arial" w:eastAsia="Arial" w:hAnsi="Arial" w:cs="Arial"/>
                <w:color w:val="000000"/>
                <w:shd w:val="solid" w:color="FFFFFF" w:fill="auto"/>
              </w:rPr>
              <w:t>performance on</w:t>
            </w:r>
            <w:r w:rsidRPr="00330A61">
              <w:rPr>
                <w:rFonts w:ascii="Arial" w:eastAsia="Arial" w:hAnsi="Arial" w:cs="Arial"/>
                <w:color w:val="000000"/>
                <w:shd w:val="solid" w:color="FFFFFF" w:fill="auto"/>
              </w:rPr>
              <w:t xml:space="preserve"> a weekly basis when in the hospital setting. Students will complete their weekly evaluation by reflecti</w:t>
            </w:r>
            <w:r w:rsidR="007D2616" w:rsidRPr="00330A61">
              <w:rPr>
                <w:rFonts w:ascii="Arial" w:eastAsia="Arial" w:hAnsi="Arial" w:cs="Arial"/>
                <w:color w:val="000000"/>
                <w:shd w:val="solid" w:color="FFFFFF" w:fill="auto"/>
              </w:rPr>
              <w:t xml:space="preserve">ng on their clinical objectives and then formulate an action plan at the midterm point of the clinical </w:t>
            </w:r>
            <w:r w:rsidR="00831AD0" w:rsidRPr="00330A61">
              <w:rPr>
                <w:rFonts w:ascii="Arial" w:eastAsia="Arial" w:hAnsi="Arial" w:cs="Arial"/>
                <w:color w:val="000000"/>
                <w:shd w:val="solid" w:color="FFFFFF" w:fill="auto"/>
              </w:rPr>
              <w:t>rotation to</w:t>
            </w:r>
            <w:r w:rsidR="007D2616" w:rsidRPr="00330A61">
              <w:rPr>
                <w:rFonts w:ascii="Arial" w:eastAsia="Arial" w:hAnsi="Arial" w:cs="Arial"/>
                <w:color w:val="000000"/>
                <w:shd w:val="solid" w:color="FFFFFF" w:fill="auto"/>
              </w:rPr>
              <w:t xml:space="preserve"> be discussed with the clinical instructor. Students will continue </w:t>
            </w:r>
            <w:r w:rsidR="00304E62" w:rsidRPr="00330A61">
              <w:rPr>
                <w:rFonts w:ascii="Arial" w:eastAsia="Arial" w:hAnsi="Arial" w:cs="Arial"/>
                <w:color w:val="000000"/>
                <w:shd w:val="solid" w:color="FFFFFF" w:fill="auto"/>
              </w:rPr>
              <w:t>to self</w:t>
            </w:r>
            <w:r w:rsidR="00831AD0" w:rsidRPr="00330A61">
              <w:rPr>
                <w:rFonts w:ascii="Arial" w:eastAsia="Arial" w:hAnsi="Arial" w:cs="Arial"/>
                <w:color w:val="000000"/>
                <w:shd w:val="solid" w:color="FFFFFF" w:fill="auto"/>
              </w:rPr>
              <w:t>-evaluate</w:t>
            </w:r>
            <w:r w:rsidR="007D2616" w:rsidRPr="00330A61">
              <w:rPr>
                <w:rFonts w:ascii="Arial" w:eastAsia="Arial" w:hAnsi="Arial" w:cs="Arial"/>
                <w:color w:val="000000"/>
                <w:shd w:val="solid" w:color="FFFFFF" w:fill="auto"/>
              </w:rPr>
              <w:t xml:space="preserve"> their clinical performance </w:t>
            </w:r>
            <w:r w:rsidR="00831AD0" w:rsidRPr="00330A61">
              <w:rPr>
                <w:rFonts w:ascii="Arial" w:eastAsia="Arial" w:hAnsi="Arial" w:cs="Arial"/>
                <w:color w:val="000000"/>
                <w:shd w:val="solid" w:color="FFFFFF" w:fill="auto"/>
              </w:rPr>
              <w:t xml:space="preserve">until </w:t>
            </w:r>
            <w:r w:rsidR="00831AD0" w:rsidRPr="00330A61">
              <w:rPr>
                <w:rFonts w:ascii="Arial" w:eastAsia="Arial" w:hAnsi="Arial" w:cs="Arial"/>
                <w:color w:val="000000"/>
                <w:shd w:val="solid" w:color="FFFFFF" w:fill="auto"/>
              </w:rPr>
              <w:lastRenderedPageBreak/>
              <w:t>the end of the semester.</w:t>
            </w:r>
            <w:r w:rsidR="00304E62" w:rsidRPr="00330A61">
              <w:rPr>
                <w:rFonts w:ascii="Arial" w:eastAsia="Arial" w:hAnsi="Arial" w:cs="Arial"/>
                <w:color w:val="000000"/>
                <w:shd w:val="solid" w:color="FFFFFF" w:fill="auto"/>
              </w:rPr>
              <w:t xml:space="preserve"> </w:t>
            </w:r>
            <w:r w:rsidRPr="00330A61">
              <w:rPr>
                <w:rFonts w:ascii="Arial" w:eastAsia="Arial" w:hAnsi="Arial" w:cs="Arial"/>
                <w:color w:val="000000"/>
                <w:shd w:val="solid" w:color="FFFFFF" w:fill="auto"/>
              </w:rPr>
              <w:t>The NURS 276 final evaluation w</w:t>
            </w:r>
            <w:r w:rsidR="00304E62" w:rsidRPr="00330A61">
              <w:rPr>
                <w:rFonts w:ascii="Arial" w:eastAsia="Arial" w:hAnsi="Arial" w:cs="Arial"/>
                <w:color w:val="000000"/>
                <w:shd w:val="solid" w:color="FFFFFF" w:fill="auto"/>
              </w:rPr>
              <w:t xml:space="preserve">ill be completed by </w:t>
            </w:r>
            <w:proofErr w:type="gramStart"/>
            <w:r w:rsidR="00304E62" w:rsidRPr="00330A61">
              <w:rPr>
                <w:rFonts w:ascii="Arial" w:eastAsia="Arial" w:hAnsi="Arial" w:cs="Arial"/>
                <w:color w:val="000000"/>
                <w:shd w:val="solid" w:color="FFFFFF" w:fill="auto"/>
              </w:rPr>
              <w:t xml:space="preserve">the </w:t>
            </w:r>
            <w:r w:rsidRPr="00330A61">
              <w:rPr>
                <w:rFonts w:ascii="Arial" w:eastAsia="Arial" w:hAnsi="Arial" w:cs="Arial"/>
                <w:color w:val="000000"/>
                <w:shd w:val="solid" w:color="FFFFFF" w:fill="auto"/>
              </w:rPr>
              <w:t xml:space="preserve"> clinical</w:t>
            </w:r>
            <w:proofErr w:type="gramEnd"/>
            <w:r w:rsidRPr="00330A61">
              <w:rPr>
                <w:rFonts w:ascii="Arial" w:eastAsia="Arial" w:hAnsi="Arial" w:cs="Arial"/>
                <w:color w:val="000000"/>
                <w:shd w:val="solid" w:color="FFFFFF" w:fill="auto"/>
              </w:rPr>
              <w:t xml:space="preserve"> instructor and must contain a satisfactory mark.   To pass the course the student must meet all of the clinical objectives. If a student does not meet all of the clinical objectives by the end of the course then the student fails the clinical portion of the course and as a result then fails the whole course. In order to successfully pass this course the student must satisfactorily pass the clinical and classroom portions of the course.</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Specific Clinical Assessments N</w:t>
            </w:r>
            <w:r w:rsidR="00B1344E">
              <w:t xml:space="preserve">UR </w:t>
            </w:r>
            <w:r w:rsidRPr="005527EE">
              <w:t>276 only</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pacing w:after="280" w:afterAutospacing="1"/>
              <w:jc w:val="both"/>
            </w:pPr>
            <w:r>
              <w:t>Journal</w:t>
            </w:r>
          </w:p>
          <w:p w:rsidR="00356E5C" w:rsidRDefault="00B54166">
            <w:pPr>
              <w:spacing w:after="280" w:afterAutospacing="1"/>
              <w:jc w:val="both"/>
            </w:pPr>
            <w:r>
              <w:t> </w:t>
            </w:r>
          </w:p>
          <w:p w:rsidR="00356E5C" w:rsidRDefault="00B54166">
            <w:pPr>
              <w:spacing w:after="280" w:afterAutospacing="1"/>
              <w:jc w:val="both"/>
            </w:pPr>
            <w:r>
              <w:t xml:space="preserve">Objectives       </w:t>
            </w:r>
          </w:p>
          <w:p w:rsidR="00356E5C" w:rsidRDefault="00B54166">
            <w:pPr>
              <w:spacing w:after="280" w:afterAutospacing="1"/>
              <w:jc w:val="both"/>
            </w:pPr>
            <w:r>
              <w:t>1.         Improve self-expression and self-understanding</w:t>
            </w:r>
          </w:p>
          <w:p w:rsidR="00356E5C" w:rsidRDefault="00B54166">
            <w:pPr>
              <w:spacing w:after="280" w:afterAutospacing="1"/>
              <w:jc w:val="both"/>
            </w:pPr>
            <w:r>
              <w:t>2.         Provide for expression of feelings, both positive and negative</w:t>
            </w:r>
          </w:p>
          <w:p w:rsidR="00356E5C" w:rsidRDefault="00B54166">
            <w:pPr>
              <w:spacing w:after="280" w:afterAutospacing="1"/>
              <w:jc w:val="both"/>
            </w:pPr>
            <w:r>
              <w:t>3.         Explore and identify areas for personal and professional growth</w:t>
            </w:r>
          </w:p>
          <w:p w:rsidR="00356E5C" w:rsidRDefault="00B54166">
            <w:pPr>
              <w:spacing w:after="280" w:afterAutospacing="1"/>
              <w:jc w:val="both"/>
            </w:pPr>
            <w:r>
              <w:t>4.         Communicate with clinical instructor</w:t>
            </w:r>
          </w:p>
          <w:p w:rsidR="00356E5C" w:rsidRDefault="00B54166">
            <w:pPr>
              <w:spacing w:after="280" w:afterAutospacing="1"/>
              <w:jc w:val="both"/>
            </w:pPr>
            <w:r>
              <w:t>5.         Clarify any ambiguities</w:t>
            </w:r>
          </w:p>
          <w:p w:rsidR="00356E5C" w:rsidRDefault="00B54166">
            <w:pPr>
              <w:spacing w:after="280" w:afterAutospacing="1"/>
              <w:jc w:val="both"/>
            </w:pPr>
            <w:r>
              <w:t>Guidelines</w:t>
            </w:r>
          </w:p>
          <w:p w:rsidR="00356E5C" w:rsidRDefault="00B54166">
            <w:pPr>
              <w:spacing w:after="280" w:afterAutospacing="1"/>
              <w:jc w:val="both"/>
            </w:pPr>
            <w:r>
              <w:t>Use a separate notebook to be handed in each week to your clinical instructor. Please use the client’s initials rather than names in all journal entries or assignments. Your journal is confidential between you and your instructor. Each entry should be a thoughtful reflection regarding your clinical experience, rather than an outline or schedule of your day. The following questions may help guide you in your reflection:</w:t>
            </w:r>
          </w:p>
          <w:p w:rsidR="00356E5C" w:rsidRDefault="00B54166">
            <w:pPr>
              <w:spacing w:after="280" w:afterAutospacing="1"/>
              <w:jc w:val="both"/>
            </w:pPr>
            <w:r>
              <w:t>1.         When I think about how I felt during clinical, I would describe those feelings as…. And I     handled those feelings by……</w:t>
            </w:r>
          </w:p>
          <w:p w:rsidR="00356E5C" w:rsidRDefault="00B54166">
            <w:pPr>
              <w:spacing w:after="280" w:afterAutospacing="1"/>
              <w:jc w:val="both"/>
            </w:pPr>
            <w:r>
              <w:t>2.         What I liked about clinical this week was… What I disliked this week in clinical was…..</w:t>
            </w:r>
          </w:p>
          <w:p w:rsidR="00356E5C" w:rsidRDefault="00B54166">
            <w:pPr>
              <w:spacing w:after="280" w:afterAutospacing="1"/>
              <w:jc w:val="both"/>
            </w:pPr>
            <w:r>
              <w:t>3.         As I look back, I believe that I handled the following situation well…because…</w:t>
            </w:r>
          </w:p>
          <w:p w:rsidR="00356E5C" w:rsidRDefault="00B54166">
            <w:pPr>
              <w:spacing w:after="280" w:afterAutospacing="1"/>
              <w:jc w:val="both"/>
            </w:pPr>
            <w:r>
              <w:t>4.         As I look back, I believe that that I would handle the following situation differently in the future</w:t>
            </w:r>
          </w:p>
          <w:p w:rsidR="00356E5C" w:rsidRDefault="00B54166">
            <w:pPr>
              <w:spacing w:after="280" w:afterAutospacing="1"/>
              <w:jc w:val="both"/>
            </w:pPr>
            <w:r>
              <w:t>5.         The problems that I encountered in clinical were…I think I solved them by….</w:t>
            </w:r>
          </w:p>
          <w:p w:rsidR="00356E5C" w:rsidRDefault="00B54166">
            <w:pPr>
              <w:spacing w:after="280" w:afterAutospacing="1"/>
              <w:jc w:val="both"/>
            </w:pPr>
            <w:r>
              <w:t>6.         My thinking regarding my behavior in clinical this week was that….</w:t>
            </w:r>
          </w:p>
          <w:p w:rsidR="00356E5C" w:rsidRDefault="00B54166">
            <w:pPr>
              <w:spacing w:after="280" w:afterAutospacing="1"/>
              <w:jc w:val="both"/>
            </w:pPr>
            <w:r>
              <w:t>7.         Something that I did not understand this week was</w:t>
            </w:r>
            <w:proofErr w:type="gramStart"/>
            <w:r>
              <w:t>….Something</w:t>
            </w:r>
            <w:proofErr w:type="gramEnd"/>
            <w:r>
              <w:t xml:space="preserve"> that I learned this week was..</w:t>
            </w:r>
          </w:p>
          <w:p w:rsidR="00356E5C" w:rsidRDefault="00B54166">
            <w:pPr>
              <w:spacing w:after="280" w:afterAutospacing="1"/>
              <w:jc w:val="both"/>
            </w:pPr>
            <w:r>
              <w:t> </w:t>
            </w:r>
          </w:p>
          <w:p w:rsidR="00356E5C" w:rsidRDefault="00B54166">
            <w:pPr>
              <w:spacing w:after="280" w:afterAutospacing="1"/>
              <w:jc w:val="both"/>
            </w:pPr>
            <w:r>
              <w:t>Interaction Process Analysis</w:t>
            </w:r>
          </w:p>
          <w:p w:rsidR="00356E5C" w:rsidRDefault="00B54166">
            <w:pPr>
              <w:spacing w:after="280" w:afterAutospacing="1"/>
              <w:jc w:val="both"/>
            </w:pPr>
            <w:r>
              <w:lastRenderedPageBreak/>
              <w:t> </w:t>
            </w:r>
          </w:p>
          <w:p w:rsidR="00356E5C" w:rsidRDefault="00B54166">
            <w:pPr>
              <w:spacing w:after="280" w:afterAutospacing="1"/>
              <w:jc w:val="both"/>
            </w:pPr>
            <w:r>
              <w:t>Objectives</w:t>
            </w:r>
          </w:p>
          <w:p w:rsidR="00356E5C" w:rsidRDefault="00B54166">
            <w:pPr>
              <w:spacing w:after="280" w:afterAutospacing="1"/>
              <w:jc w:val="both"/>
            </w:pPr>
            <w:r>
              <w:t>1.         Examine and improve skills in communication and observation</w:t>
            </w:r>
          </w:p>
          <w:p w:rsidR="00356E5C" w:rsidRDefault="00B54166">
            <w:pPr>
              <w:spacing w:after="280" w:afterAutospacing="1"/>
              <w:jc w:val="both"/>
            </w:pPr>
            <w:r>
              <w:t>2.         Increase self-understanding</w:t>
            </w:r>
          </w:p>
          <w:p w:rsidR="00356E5C" w:rsidRDefault="00B54166">
            <w:pPr>
              <w:spacing w:after="280" w:afterAutospacing="1"/>
              <w:jc w:val="both"/>
            </w:pPr>
            <w:r>
              <w:t>3.         Improve awareness of the interpersonal process of the nurse-client relationship</w:t>
            </w:r>
          </w:p>
          <w:p w:rsidR="00356E5C" w:rsidRDefault="00B54166">
            <w:pPr>
              <w:spacing w:after="280" w:afterAutospacing="1"/>
              <w:jc w:val="both"/>
            </w:pPr>
            <w:r>
              <w:t>4.         Identify non-verbal behaviors, defense mechanisms and other dynamics involved in interactions</w:t>
            </w:r>
          </w:p>
          <w:p w:rsidR="00356E5C" w:rsidRDefault="00B54166">
            <w:pPr>
              <w:spacing w:after="280" w:afterAutospacing="1"/>
              <w:jc w:val="both"/>
            </w:pPr>
            <w:r>
              <w:t xml:space="preserve">Guidelines       </w:t>
            </w:r>
          </w:p>
          <w:p w:rsidR="00356E5C" w:rsidRDefault="00B54166">
            <w:pPr>
              <w:spacing w:after="280" w:afterAutospacing="1"/>
              <w:jc w:val="both"/>
            </w:pPr>
            <w:r>
              <w:t xml:space="preserve">Please utilize the IPA format. Prior to beginning the interaction, you should set a goal for the interaction and demonstrate that you are pursuing the goal during the interaction. The first column is the verbatim conversation between the student and the client. Indicate who is talking, e.g. the student or client. The second column is the thoughts and feelings of the nurse during the </w:t>
            </w:r>
            <w:proofErr w:type="gramStart"/>
            <w:r>
              <w:t>interaction</w:t>
            </w:r>
            <w:r w:rsidR="000D7F5D">
              <w:t xml:space="preserve"> </w:t>
            </w:r>
            <w:r>
              <w:t>.</w:t>
            </w:r>
            <w:proofErr w:type="gramEnd"/>
            <w:r>
              <w:t xml:space="preserve"> Also, each time the student nurse speaks, he or she will identify which therapeutic communication technique was utilized. The third column should include the thoughts and feelings of the client, as well as the non-verbal behaviors of the client that the student observes. Each student will complete 3 IPAs.</w:t>
            </w:r>
          </w:p>
          <w:p w:rsidR="00356E5C" w:rsidRDefault="00B54166">
            <w:pPr>
              <w:spacing w:after="280" w:afterAutospacing="1"/>
              <w:jc w:val="both"/>
            </w:pPr>
            <w:r>
              <w:t> </w:t>
            </w:r>
          </w:p>
          <w:p w:rsidR="00356E5C" w:rsidRDefault="00B54166">
            <w:pPr>
              <w:spacing w:after="280" w:afterAutospacing="1"/>
              <w:jc w:val="both"/>
            </w:pPr>
            <w:r>
              <w:t> </w:t>
            </w:r>
          </w:p>
          <w:p w:rsidR="00356E5C" w:rsidRDefault="00B54166">
            <w:pPr>
              <w:spacing w:after="280" w:afterAutospacing="1"/>
            </w:pPr>
            <w:r>
              <w:t>Nursing Assessment Tool and Concept Map</w:t>
            </w:r>
          </w:p>
          <w:p w:rsidR="00356E5C" w:rsidRDefault="00B54166">
            <w:pPr>
              <w:spacing w:after="280" w:afterAutospacing="1"/>
              <w:jc w:val="both"/>
            </w:pPr>
            <w:r>
              <w:t> </w:t>
            </w:r>
          </w:p>
          <w:p w:rsidR="00356E5C" w:rsidRDefault="00B54166">
            <w:pPr>
              <w:spacing w:after="280" w:afterAutospacing="1"/>
              <w:jc w:val="both"/>
            </w:pPr>
            <w:r>
              <w:t>Objectives</w:t>
            </w:r>
          </w:p>
          <w:p w:rsidR="00356E5C" w:rsidRDefault="00B54166">
            <w:pPr>
              <w:spacing w:after="280" w:afterAutospacing="1"/>
              <w:jc w:val="both"/>
            </w:pPr>
            <w:r>
              <w:t>1.         Utilize the nursing process to assess, plan, implement and evaluate care for assigned clients</w:t>
            </w:r>
          </w:p>
          <w:p w:rsidR="00356E5C" w:rsidRDefault="00B54166">
            <w:pPr>
              <w:spacing w:after="280" w:afterAutospacing="1"/>
              <w:jc w:val="both"/>
            </w:pPr>
            <w:r>
              <w:t>2.         Integrate learning via application of theoretical concepts to clinical practice</w:t>
            </w:r>
          </w:p>
          <w:p w:rsidR="00356E5C" w:rsidRDefault="00B54166">
            <w:pPr>
              <w:spacing w:after="280" w:afterAutospacing="1"/>
              <w:jc w:val="both"/>
            </w:pPr>
            <w:r>
              <w:t> </w:t>
            </w:r>
          </w:p>
          <w:p w:rsidR="00356E5C" w:rsidRDefault="00B54166">
            <w:pPr>
              <w:spacing w:after="280" w:afterAutospacing="1"/>
              <w:jc w:val="both"/>
            </w:pPr>
            <w:r>
              <w:t>Guidelines</w:t>
            </w:r>
          </w:p>
          <w:p w:rsidR="00356E5C" w:rsidRDefault="00B54166">
            <w:pPr>
              <w:spacing w:after="240"/>
            </w:pPr>
            <w:r>
              <w:t>These will be done as assigned during the clinical experience. Utilize the directions for completing the patient assessment and concept map found on Moodle to assist you in completing this assignment. Each concept map must be submitted with two peer reviewed, nursing journal articles published within the past 4 years which support the nursing interventions on the map.  A typed reference page in APA format will be prepared and submitted which lists all textbooks and journal articles used in the preparation of the concept map.</w:t>
            </w:r>
          </w:p>
          <w:p w:rsidR="00356E5C" w:rsidRDefault="00B54166">
            <w:pPr>
              <w:spacing w:after="280" w:afterAutospacing="1"/>
            </w:pPr>
            <w:r>
              <w:t xml:space="preserve"> Each student will complete 2 Patient Assessments and Concept Maps. </w:t>
            </w:r>
          </w:p>
          <w:p w:rsidR="00356E5C" w:rsidRDefault="00B54166">
            <w:pPr>
              <w:spacing w:after="280" w:afterAutospacing="1"/>
              <w:jc w:val="both"/>
            </w:pPr>
            <w:r>
              <w:t> </w:t>
            </w:r>
          </w:p>
          <w:p w:rsidR="00356E5C" w:rsidRDefault="00B54166">
            <w:pPr>
              <w:spacing w:after="280" w:afterAutospacing="1"/>
              <w:jc w:val="both"/>
            </w:pPr>
            <w:r>
              <w:t>Mental Status Exam/ Depression screens</w:t>
            </w:r>
          </w:p>
          <w:p w:rsidR="00356E5C" w:rsidRDefault="00B54166">
            <w:pPr>
              <w:spacing w:after="280" w:afterAutospacing="1"/>
              <w:jc w:val="both"/>
            </w:pPr>
            <w:r>
              <w:lastRenderedPageBreak/>
              <w:t> </w:t>
            </w:r>
          </w:p>
          <w:p w:rsidR="00356E5C" w:rsidRDefault="00B54166">
            <w:pPr>
              <w:spacing w:after="280" w:afterAutospacing="1"/>
              <w:jc w:val="both"/>
            </w:pPr>
            <w:r>
              <w:t>Objectives</w:t>
            </w:r>
          </w:p>
          <w:p w:rsidR="00356E5C" w:rsidRDefault="00B54166">
            <w:pPr>
              <w:spacing w:after="280" w:afterAutospacing="1"/>
              <w:ind w:left="1080"/>
              <w:jc w:val="both"/>
            </w:pPr>
            <w:r>
              <w:t>1.</w:t>
            </w:r>
            <w:r>
              <w:rPr>
                <w:rFonts w:ascii="Times New Roman" w:eastAsia="Times New Roman" w:hAnsi="Times New Roman" w:cs="Times New Roman"/>
                <w:sz w:val="14"/>
              </w:rPr>
              <w:t xml:space="preserve">            </w:t>
            </w:r>
            <w:r>
              <w:t>Integrate learning via application of theoretical concepts to clinical practice</w:t>
            </w:r>
          </w:p>
          <w:p w:rsidR="00356E5C" w:rsidRDefault="00B54166">
            <w:pPr>
              <w:spacing w:after="280" w:afterAutospacing="1"/>
              <w:ind w:left="1080"/>
              <w:jc w:val="both"/>
            </w:pPr>
            <w:r>
              <w:t>2.</w:t>
            </w:r>
            <w:r>
              <w:rPr>
                <w:rFonts w:ascii="Times New Roman" w:eastAsia="Times New Roman" w:hAnsi="Times New Roman" w:cs="Times New Roman"/>
                <w:sz w:val="14"/>
              </w:rPr>
              <w:t xml:space="preserve">            </w:t>
            </w:r>
            <w:r>
              <w:t>Improve competency utilizing specific screening tools</w:t>
            </w:r>
          </w:p>
          <w:p w:rsidR="00356E5C" w:rsidRDefault="00B54166">
            <w:pPr>
              <w:spacing w:after="280" w:afterAutospacing="1"/>
              <w:ind w:left="1080"/>
              <w:jc w:val="both"/>
            </w:pPr>
            <w:r>
              <w:t> </w:t>
            </w:r>
          </w:p>
          <w:p w:rsidR="00356E5C" w:rsidRDefault="00B54166">
            <w:pPr>
              <w:spacing w:after="280" w:afterAutospacing="1"/>
              <w:jc w:val="both"/>
            </w:pPr>
            <w:r>
              <w:t>Guidelines</w:t>
            </w:r>
          </w:p>
          <w:p w:rsidR="00356E5C" w:rsidRDefault="00B54166">
            <w:pPr>
              <w:spacing w:after="280" w:afterAutospacing="1"/>
              <w:jc w:val="both"/>
            </w:pPr>
            <w:r>
              <w:t>Please utilize the appropriate form based on which screening exam you are performing. Indicate all of the clients’ responses, and make a statement indicating the results that you have obtained. Indicate rationale for your choice of client and why you believe that they scored as they did. Each student will complete 2 MSEs and 2 depression screens.</w:t>
            </w:r>
          </w:p>
          <w:p w:rsidR="00356E5C" w:rsidRDefault="00B54166">
            <w:pPr>
              <w:spacing w:after="280" w:afterAutospacing="1"/>
              <w:jc w:val="both"/>
            </w:pPr>
            <w:r>
              <w:t> </w:t>
            </w:r>
          </w:p>
          <w:p w:rsidR="00356E5C" w:rsidRDefault="00B54166">
            <w:pPr>
              <w:spacing w:after="0"/>
              <w:jc w:val="both"/>
            </w:pPr>
            <w:r>
              <w:rPr>
                <w:b/>
                <w:bCs/>
              </w:rPr>
              <w:t>Group Leadership</w:t>
            </w:r>
          </w:p>
          <w:p w:rsidR="00356E5C" w:rsidRDefault="00B54166">
            <w:pPr>
              <w:spacing w:after="0"/>
              <w:jc w:val="both"/>
            </w:pPr>
            <w:r>
              <w:rPr>
                <w:b/>
                <w:bCs/>
              </w:rPr>
              <w:t> </w:t>
            </w:r>
          </w:p>
          <w:p w:rsidR="00356E5C" w:rsidRDefault="00B54166">
            <w:pPr>
              <w:spacing w:after="0"/>
              <w:jc w:val="both"/>
            </w:pPr>
            <w:r>
              <w:t xml:space="preserve">If a student chooses to do a group presentation then only one depression screen needs to be completed. Please discuss this option with your clinical instructor. </w:t>
            </w:r>
          </w:p>
          <w:p w:rsidR="00356E5C" w:rsidRDefault="00B54166">
            <w:pPr>
              <w:spacing w:after="0"/>
              <w:jc w:val="both"/>
            </w:pPr>
            <w:r>
              <w:rPr>
                <w:b/>
                <w:bCs/>
              </w:rPr>
              <w:t> </w:t>
            </w:r>
          </w:p>
          <w:p w:rsidR="00356E5C" w:rsidRDefault="00B54166">
            <w:pPr>
              <w:spacing w:after="0"/>
              <w:jc w:val="both"/>
            </w:pPr>
            <w:r>
              <w:t>Objectives</w:t>
            </w:r>
          </w:p>
          <w:p w:rsidR="00356E5C" w:rsidRDefault="00B54166">
            <w:pPr>
              <w:spacing w:after="0"/>
              <w:ind w:left="630"/>
              <w:jc w:val="both"/>
            </w:pPr>
            <w:r>
              <w:t>1.</w:t>
            </w:r>
            <w:r>
              <w:rPr>
                <w:rFonts w:ascii="Times New Roman" w:eastAsia="Times New Roman" w:hAnsi="Times New Roman" w:cs="Times New Roman"/>
              </w:rPr>
              <w:t xml:space="preserve">    </w:t>
            </w:r>
            <w:r>
              <w:t xml:space="preserve">Develop a 20 minute psychoeducational small group activity or presentation </w:t>
            </w:r>
          </w:p>
          <w:p w:rsidR="00356E5C" w:rsidRDefault="00B54166">
            <w:pPr>
              <w:spacing w:after="0"/>
              <w:ind w:left="630"/>
              <w:jc w:val="both"/>
            </w:pPr>
            <w:r>
              <w:t>2.</w:t>
            </w:r>
            <w:r>
              <w:rPr>
                <w:rFonts w:ascii="Times New Roman" w:eastAsia="Times New Roman" w:hAnsi="Times New Roman" w:cs="Times New Roman"/>
              </w:rPr>
              <w:t xml:space="preserve">    </w:t>
            </w:r>
            <w:r>
              <w:t>Implement intervention strategies for managing common issues within the group</w:t>
            </w:r>
          </w:p>
          <w:p w:rsidR="00B1344E" w:rsidRDefault="00B1344E">
            <w:pPr>
              <w:spacing w:after="0"/>
              <w:jc w:val="both"/>
            </w:pPr>
          </w:p>
          <w:p w:rsidR="00356E5C" w:rsidRDefault="00B54166">
            <w:pPr>
              <w:spacing w:after="0"/>
              <w:jc w:val="both"/>
            </w:pPr>
            <w:r>
              <w:t>Guidelines</w:t>
            </w:r>
          </w:p>
          <w:p w:rsidR="00356E5C" w:rsidRDefault="00B54166">
            <w:pPr>
              <w:spacing w:after="0"/>
            </w:pPr>
            <w:r>
              <w:t xml:space="preserve">Collaborate with your clinical instructor about identifying the focus of a psychoeducational group that you and a classmate will offer to 2 or 3 patients.  Some examples of the types of group activities that you could consider offering include strategies to minimize medication side effects, a recreational activity, or nutritional recommendations.  Aim to identify appropriate patients for this 20 minute activity.  Have the focus and content of your presentation approved by your clinical instructor before you discuss your plan with the primary nurse(s) of appropriate patients.   </w:t>
            </w:r>
          </w:p>
          <w:p w:rsidR="00356E5C" w:rsidRDefault="00B54166">
            <w:pPr>
              <w:spacing w:after="0"/>
            </w:pPr>
            <w:r>
              <w:t> </w:t>
            </w:r>
          </w:p>
          <w:p w:rsidR="00356E5C" w:rsidRDefault="00356E5C">
            <w:pPr>
              <w:spacing w:after="280" w:afterAutospacing="1"/>
              <w:jc w:val="both"/>
            </w:pPr>
          </w:p>
          <w:p w:rsidR="00356E5C" w:rsidRDefault="00B54166">
            <w:pPr>
              <w:spacing w:after="240"/>
            </w:pPr>
            <w:r>
              <w:rPr>
                <w:b/>
                <w:bCs/>
              </w:rPr>
              <w:t>Clinical Make-Up</w:t>
            </w:r>
          </w:p>
          <w:p w:rsidR="00356E5C" w:rsidRDefault="00B54166">
            <w:pPr>
              <w:spacing w:after="240"/>
            </w:pPr>
            <w:r>
              <w:t>Students who miss from1 to 60 minutes of clinical time must complete 60 NCLEX-style psychiatric questions at 78% competency.</w:t>
            </w:r>
            <w:r>
              <w:br/>
            </w:r>
            <w:r>
              <w:br/>
              <w:t>For each minute of clinical time missed, beyond 60 minutes and less than one entire clinical day, the student will complete one NCLEX psychiatric nursing question. Thus, if a student missed 2 hours of clinical, they would complete 120 questions. Questions must be completed with an accuracy of 78%. Questions can come from any reputable source as determined by your lead instructor or clinical instructor. The electronic resource should be no older than 5 years.</w:t>
            </w:r>
          </w:p>
          <w:p w:rsidR="00356E5C" w:rsidRDefault="00B54166">
            <w:pPr>
              <w:spacing w:after="280" w:afterAutospacing="1"/>
            </w:pPr>
            <w:r>
              <w:t>Students who miss an entire clinical day will be required to write a one page paper. The guidelines and grading rubric for the paper are under the clinical section of Moodle.</w:t>
            </w:r>
            <w:r>
              <w:br/>
            </w:r>
            <w:r>
              <w:br/>
              <w:t xml:space="preserve">The clinical instructor will prepare a learning contract for the student which gives the due date for assignment </w:t>
            </w:r>
            <w:r>
              <w:lastRenderedPageBreak/>
              <w:t>completion.</w:t>
            </w:r>
            <w:r>
              <w:br/>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Student Participation in Moodle</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rFonts w:ascii="Arial" w:eastAsia="Arial" w:hAnsi="Arial" w:cs="Arial"/>
                <w:color w:val="000000"/>
                <w:shd w:val="solid" w:color="FFFFFF" w:fill="auto"/>
              </w:rPr>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clinical paperwork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(announcement) on a regular basis to keep abreast of new information</w:t>
            </w:r>
            <w:r>
              <w:t>.</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Student Email</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rFonts w:ascii="Arial" w:eastAsia="Arial" w:hAnsi="Arial" w:cs="Arial"/>
                <w:color w:val="000000"/>
                <w:shd w:val="solid" w:color="FFFFFF" w:fill="auto"/>
              </w:rPr>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t>.</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Student Handbook</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rFonts w:ascii="Arial" w:eastAsia="Arial" w:hAnsi="Arial" w:cs="Arial"/>
                <w:color w:val="000000"/>
                <w:sz w:val="20"/>
                <w:shd w:val="solid" w:color="FFFFFF" w:fill="auto"/>
              </w:rPr>
              <w:t>All policies in the KCC Nursing Student Handbook and KCC Handbook apply throughout the nursing program. Please review these policies to be sure you remain in compliance.</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Code of Conduct/Participation </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rPr>
                <w:rFonts w:ascii="Arial" w:eastAsia="Arial" w:hAnsi="Arial" w:cs="Arial"/>
                <w:color w:val="000000"/>
                <w:shd w:val="solid" w:color="FFFFFF" w:fill="auto"/>
              </w:rPr>
              <w:t xml:space="preserve">Kellogg Community College students are expected to model the skills and behaviors of working professionals. This includes exhibiting behaviors which support respect and courtesy in the class environment. For more information regarding KCC’s Student Code of Conduct, please visit: http://www.kellogg.edu/wp-content/uploads/2017/08/Handbook-2017-2018.pdf. </w:t>
            </w:r>
          </w:p>
          <w:p w:rsidR="00356E5C" w:rsidRDefault="00B54166">
            <w:pPr>
              <w:rPr>
                <w:rFonts w:ascii="Arial" w:eastAsia="Arial" w:hAnsi="Arial" w:cs="Arial"/>
                <w:color w:val="000000"/>
                <w:shd w:val="solid" w:color="FFFFFF" w:fill="auto"/>
              </w:rPr>
            </w:pPr>
            <w:r>
              <w:rPr>
                <w:rFonts w:ascii="Arial" w:eastAsia="Arial" w:hAnsi="Arial" w:cs="Arial"/>
                <w:color w:val="000000"/>
                <w:shd w:val="solid" w:color="FFFFFF" w:fill="auto"/>
              </w:rPr>
              <w:t> </w:t>
            </w:r>
          </w:p>
          <w:p w:rsidR="00356E5C" w:rsidRDefault="00B54166">
            <w:r>
              <w:rPr>
                <w:rFonts w:ascii="Arial" w:eastAsia="Arial" w:hAnsi="Arial" w:cs="Arial"/>
                <w:color w:val="000000"/>
                <w:shd w:val="solid" w:color="FFFFFF" w:fill="auto"/>
              </w:rPr>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rsidR="00356E5C" w:rsidRDefault="00B54166">
            <w:r>
              <w:rPr>
                <w:rFonts w:ascii="Arial" w:eastAsia="Arial" w:hAnsi="Arial" w:cs="Arial"/>
                <w:color w:val="000000"/>
                <w:shd w:val="solid" w:color="FFFFFF" w:fill="auto"/>
              </w:rPr>
              <w:t> </w:t>
            </w:r>
          </w:p>
          <w:p w:rsidR="00356E5C" w:rsidRDefault="00B54166">
            <w:r>
              <w:rPr>
                <w:rFonts w:ascii="Arial" w:eastAsia="Arial" w:hAnsi="Arial" w:cs="Arial"/>
                <w:color w:val="000000"/>
                <w:shd w:val="solid" w:color="FFFFFF" w:fill="auto"/>
              </w:rPr>
              <w:t>It is expected that all students participate in class and clinical </w:t>
            </w:r>
            <w:r>
              <w:rPr>
                <w:rFonts w:ascii="Arial" w:eastAsia="Arial" w:hAnsi="Arial" w:cs="Arial"/>
                <w:color w:val="000000"/>
                <w:shd w:val="solid" w:color="FFFFFF" w:fill="auto"/>
              </w:rPr>
              <w:br/>
              <w:t>Drinks and snacks, not complete meals, may be brought into the classroom. </w:t>
            </w:r>
            <w:r>
              <w:rPr>
                <w:rFonts w:ascii="Arial" w:eastAsia="Arial" w:hAnsi="Arial" w:cs="Arial"/>
                <w:color w:val="000000"/>
                <w:shd w:val="solid" w:color="FFFFFF" w:fill="auto"/>
              </w:rPr>
              <w:br/>
            </w:r>
            <w:r>
              <w:rPr>
                <w:rFonts w:ascii="Arial" w:eastAsia="Arial" w:hAnsi="Arial" w:cs="Arial"/>
                <w:color w:val="000000"/>
                <w:shd w:val="solid" w:color="FFFFFF" w:fill="auto"/>
              </w:rPr>
              <w:br/>
              <w:t xml:space="preserve">Children cannot attend class. Child care services may be available at the Battle Creek campus through Kid's </w:t>
            </w:r>
            <w:proofErr w:type="spellStart"/>
            <w:r>
              <w:rPr>
                <w:rFonts w:ascii="Arial" w:eastAsia="Arial" w:hAnsi="Arial" w:cs="Arial"/>
                <w:color w:val="000000"/>
                <w:shd w:val="solid" w:color="FFFFFF" w:fill="auto"/>
              </w:rPr>
              <w:t>Kampus</w:t>
            </w:r>
            <w:proofErr w:type="spellEnd"/>
            <w:r>
              <w:rPr>
                <w:rFonts w:ascii="Arial" w:eastAsia="Arial" w:hAnsi="Arial" w:cs="Arial"/>
                <w:color w:val="000000"/>
                <w:shd w:val="solid" w:color="FFFFFF" w:fill="auto"/>
              </w:rPr>
              <w:t>, call (269) 969-6270 for more information.</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Use of Technology &amp; Student Email Accounts</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as e-mail, are intended for college related activities only. Inappropriate messages and/or materials are not to be sent or stored. For more information, visit the KCC web page at: www.kellogg.edu.</w:t>
            </w:r>
          </w:p>
          <w:p w:rsidR="00356E5C" w:rsidRDefault="00B54166">
            <w:r>
              <w:lastRenderedPageBreak/>
              <w:t> </w:t>
            </w:r>
          </w:p>
          <w:p w:rsidR="00356E5C" w:rsidRDefault="00B54166">
            <w: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p w:rsidR="00484196" w:rsidRPr="00484196" w:rsidRDefault="00484196" w:rsidP="00484196">
            <w:pPr>
              <w:spacing w:after="0"/>
              <w:rPr>
                <w:rFonts w:ascii="Calibri" w:eastAsia="Times New Roman" w:hAnsi="Calibri" w:cs="Calibri"/>
                <w:color w:val="000000"/>
                <w:sz w:val="24"/>
                <w:szCs w:val="24"/>
                <w:lang w:bidi="ar-SA"/>
              </w:rPr>
            </w:pPr>
            <w:r w:rsidRPr="00330A61">
              <w:rPr>
                <w:rFonts w:ascii="Calibri" w:eastAsia="Times New Roman" w:hAnsi="Calibri" w:cs="Calibri"/>
                <w:b/>
                <w:bCs/>
                <w:i/>
                <w:iCs/>
                <w:color w:val="000000"/>
                <w:sz w:val="24"/>
                <w:szCs w:val="24"/>
                <w:lang w:bidi="ar-SA"/>
              </w:rPr>
              <w:t xml:space="preserve"> </w:t>
            </w:r>
            <w:r w:rsidR="00831AD0" w:rsidRPr="00330A61">
              <w:rPr>
                <w:rFonts w:ascii="Calibri" w:eastAsia="Times New Roman" w:hAnsi="Calibri" w:cs="Calibri"/>
                <w:b/>
                <w:bCs/>
                <w:iCs/>
                <w:color w:val="000000"/>
                <w:sz w:val="24"/>
                <w:szCs w:val="24"/>
                <w:lang w:bidi="ar-SA"/>
              </w:rPr>
              <w:t>C</w:t>
            </w:r>
            <w:r w:rsidRPr="00330A61">
              <w:rPr>
                <w:rFonts w:ascii="Calibri" w:eastAsia="Times New Roman" w:hAnsi="Calibri" w:cs="Calibri"/>
                <w:b/>
                <w:bCs/>
                <w:iCs/>
                <w:color w:val="000000"/>
                <w:sz w:val="24"/>
                <w:szCs w:val="24"/>
                <w:lang w:bidi="ar-SA"/>
              </w:rPr>
              <w:t>linical Setting and KCC Nursing Labs – Cell Phones</w:t>
            </w:r>
            <w:r w:rsidRPr="00330A61">
              <w:rPr>
                <w:rFonts w:ascii="Calibri" w:eastAsia="Times New Roman" w:hAnsi="Calibri" w:cs="Calibri"/>
                <w:color w:val="000000"/>
                <w:sz w:val="24"/>
                <w:szCs w:val="24"/>
                <w:lang w:bidi="ar-SA"/>
              </w:rPr>
              <w:br/>
              <w:t xml:space="preserve">Cell phones cannot be accessed at any time during clinical experiences.  </w:t>
            </w:r>
            <w:r w:rsidR="00330A61">
              <w:rPr>
                <w:rFonts w:ascii="Calibri" w:eastAsia="Times New Roman" w:hAnsi="Calibri" w:cs="Calibri"/>
                <w:color w:val="000000"/>
                <w:sz w:val="24"/>
                <w:szCs w:val="24"/>
                <w:lang w:bidi="ar-SA"/>
              </w:rPr>
              <w:t xml:space="preserve">However they may be utilized during designated break time off the clinical unit or KCC Nursing Lab. </w:t>
            </w:r>
            <w:r w:rsidRPr="00330A61">
              <w:rPr>
                <w:rFonts w:ascii="Calibri" w:eastAsia="Times New Roman" w:hAnsi="Calibri" w:cs="Calibri"/>
                <w:color w:val="000000"/>
                <w:sz w:val="24"/>
                <w:szCs w:val="24"/>
                <w:lang w:bidi="ar-SA"/>
              </w:rPr>
              <w:t>No photos or videos are permitted at any time during your clinical experience.</w:t>
            </w:r>
            <w:r w:rsidRPr="00484196">
              <w:rPr>
                <w:rFonts w:ascii="Calibri" w:eastAsia="Times New Roman" w:hAnsi="Calibri" w:cs="Calibri"/>
                <w:color w:val="000000"/>
                <w:sz w:val="24"/>
                <w:szCs w:val="24"/>
                <w:lang w:bidi="ar-SA"/>
              </w:rPr>
              <w:t xml:space="preserve"> </w:t>
            </w:r>
          </w:p>
          <w:p w:rsidR="00484196" w:rsidRPr="00484196" w:rsidRDefault="00484196" w:rsidP="00484196">
            <w:pPr>
              <w:spacing w:after="0"/>
              <w:rPr>
                <w:rFonts w:ascii="Calibri" w:eastAsia="Times New Roman" w:hAnsi="Calibri" w:cs="Calibri"/>
                <w:color w:val="000000"/>
                <w:sz w:val="24"/>
                <w:szCs w:val="24"/>
                <w:lang w:bidi="ar-SA"/>
              </w:rPr>
            </w:pPr>
            <w:r w:rsidRPr="00484196">
              <w:rPr>
                <w:rFonts w:ascii="Calibri" w:eastAsia="Times New Roman" w:hAnsi="Calibri" w:cs="Calibri"/>
                <w:color w:val="000000"/>
                <w:sz w:val="24"/>
                <w:szCs w:val="24"/>
                <w:lang w:bidi="ar-SA"/>
              </w:rPr>
              <w:t> </w:t>
            </w:r>
          </w:p>
          <w:p w:rsidR="008B0D0B" w:rsidRDefault="008B0D0B"/>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Service Learning Option</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 xml:space="preserve">Incoming students enrolled in general education degree programs will be required to complete a service learning experience to qualify for graduation. All other students are encourage to participate in a service learning experience. Service Learning information may be found at: http://www.kellogg.edu/academics/service-learning/ </w:t>
            </w:r>
          </w:p>
          <w:p w:rsidR="00356E5C" w:rsidRDefault="00B54166">
            <w:r>
              <w:t> </w:t>
            </w:r>
          </w:p>
          <w:p w:rsidR="00356E5C" w:rsidRPr="00B1344E" w:rsidRDefault="00B54166">
            <w:r w:rsidRPr="00B1344E">
              <w:t>Class Specific </w:t>
            </w:r>
          </w:p>
          <w:p w:rsidR="00356E5C" w:rsidRDefault="00B54166">
            <w:r w:rsidRPr="00B1344E">
              <w:t>See the instructor if you are interested in pursuing this option. Detailed instructions will be provided later, but you should know you will need to: </w:t>
            </w:r>
            <w:r w:rsidRPr="00B1344E">
              <w:br/>
              <w:t>* Provide your own transportation to and from the placement site. </w:t>
            </w:r>
            <w:r w:rsidRPr="00B1344E">
              <w:br/>
              <w:t>* Perform a minimum of 15 hours of service. </w:t>
            </w:r>
            <w:r w:rsidRPr="00B1344E">
              <w:br/>
              <w:t>* Complete your hours by due date provided by your instructor.  </w:t>
            </w:r>
            <w:r w:rsidRPr="00B1344E">
              <w:br/>
              <w:t>* Complete reflection activity(s). </w:t>
            </w:r>
            <w:r w:rsidRPr="00B1344E">
              <w:br/>
              <w:t>* Successfully complete both the course and the service. </w:t>
            </w:r>
            <w:r w:rsidRPr="00B1344E">
              <w:br/>
            </w:r>
            <w:r w:rsidRPr="00B1344E">
              <w:br/>
              <w:t>Once the course and service are completed satisfactorily, the instructor will notify the Registrar's office and it will be indicated on your transcript</w:t>
            </w:r>
            <w:r>
              <w:rPr>
                <w:color w:val="FF0000"/>
              </w:rPr>
              <w:t xml:space="preserve">. </w:t>
            </w:r>
          </w:p>
          <w:p w:rsidR="00356E5C" w:rsidRDefault="00B54166">
            <w:pPr>
              <w:rPr>
                <w:color w:val="FF0000"/>
              </w:rPr>
            </w:pPr>
            <w:r>
              <w:rPr>
                <w:color w:val="FF0000"/>
              </w:rP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 Academic Integrity</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B1344E" w:rsidRDefault="00B54166">
            <w:pPr>
              <w:rPr>
                <w:rFonts w:cstheme="minorHAnsi"/>
              </w:rPr>
            </w:pPr>
            <w:r w:rsidRPr="00B1344E">
              <w:rPr>
                <w:rFonts w:eastAsia="Times New Roman" w:cstheme="minorHAnsi"/>
                <w:color w:val="222222"/>
                <w:shd w:val="solid" w:color="FFFFFF" w:fill="auto"/>
              </w:rPr>
              <w:t>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plagiarism.  For more information regarding KCC’s Student Code of Conduct, please visit: http://www.kellogg.edu/wp-content/uploads/2017/08/Handbook-2017-2018.pdf.</w:t>
            </w:r>
          </w:p>
          <w:p w:rsidR="00356E5C" w:rsidRDefault="00B54166">
            <w:r>
              <w:rPr>
                <w:rFonts w:ascii="Times New Roman" w:eastAsia="Times New Roman" w:hAnsi="Times New Roman" w:cs="Times New Roman"/>
                <w:color w:val="222222"/>
                <w:shd w:val="solid" w:color="FFFFFF" w:fill="auto"/>
              </w:rPr>
              <w:t> </w:t>
            </w:r>
          </w:p>
          <w:p w:rsidR="00356E5C" w:rsidRDefault="00B54166">
            <w:r w:rsidRPr="00B1344E">
              <w:rPr>
                <w:rFonts w:eastAsia="Times New Roman" w:cstheme="minorHAnsi"/>
                <w:color w:val="222222"/>
                <w:shd w:val="solid" w:color="FFFFFF" w:fill="auto"/>
              </w:rPr>
              <w:t>Please refer to the KCC Nursing Student Handbook and KCC Student Handbook</w:t>
            </w:r>
            <w:r>
              <w:rPr>
                <w:rFonts w:ascii="Times New Roman" w:eastAsia="Times New Roman" w:hAnsi="Times New Roman" w:cs="Times New Roman"/>
                <w:color w:val="222222"/>
                <w:shd w:val="solid" w:color="FFFFFF" w:fill="auto"/>
              </w:rP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Disability Services </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pacing w:after="280" w:afterAutospacing="1"/>
            </w:pPr>
            <w:r>
              <w:rPr>
                <w:color w:val="222222"/>
              </w:rPr>
              <w:t xml:space="preserve">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w:t>
            </w:r>
            <w:r>
              <w:rPr>
                <w:color w:val="222222"/>
              </w:rPr>
              <w:lastRenderedPageBreak/>
              <w:t>Support Services Department</w:t>
            </w:r>
            <w:hyperlink r:id="rId15" w:history="1">
              <w:r>
                <w:rPr>
                  <w:color w:val="0000FF"/>
                </w:rPr>
                <w:t> </w:t>
              </w:r>
            </w:hyperlink>
            <w:r>
              <w:t xml:space="preserve">and </w:t>
            </w:r>
            <w:r>
              <w:rPr>
                <w:color w:val="222222"/>
              </w:rPr>
              <w:t xml:space="preserve">provide appropriate documentation. Support Services may be reached at 269.965.4150 or </w:t>
            </w:r>
            <w:r>
              <w:t>supportservices@kellogg.edu</w:t>
            </w:r>
            <w:r>
              <w:rPr>
                <w:color w:val="222222"/>
              </w:rPr>
              <w:t>.</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lastRenderedPageBreak/>
              <w:t xml:space="preserve">Academic Support Services </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r>
              <w:t xml:space="preserve">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p w:rsidR="00356E5C" w:rsidRDefault="00B54166">
            <w:r>
              <w:t> </w:t>
            </w:r>
          </w:p>
        </w:tc>
      </w:tr>
      <w:tr w:rsidR="00356E5C" w:rsidTr="00304E62">
        <w:trPr>
          <w:gridBefore w:val="1"/>
          <w:wBefore w:w="108" w:type="dxa"/>
        </w:trPr>
        <w:tc>
          <w:tcPr>
            <w:tcW w:w="11000" w:type="dxa"/>
            <w:gridSpan w:val="4"/>
            <w:tcBorders>
              <w:top w:val="nil"/>
              <w:left w:val="nil"/>
              <w:bottom w:val="nil"/>
              <w:right w:val="nil"/>
            </w:tcBorders>
          </w:tcPr>
          <w:p w:rsidR="00FF187C" w:rsidRPr="005527EE" w:rsidRDefault="00B54166">
            <w:pPr>
              <w:pStyle w:val="Heading3"/>
            </w:pPr>
            <w:r w:rsidRPr="005527EE">
              <w:t xml:space="preserve">Retain this Syllabus &amp; Syllabus Disclaimer </w:t>
            </w:r>
          </w:p>
        </w:tc>
      </w:tr>
      <w:tr w:rsidR="00356E5C" w:rsidTr="00304E62">
        <w:trPr>
          <w:gridBefore w:val="1"/>
          <w:wBefore w:w="108" w:type="dxa"/>
        </w:trPr>
        <w:tc>
          <w:tcPr>
            <w:tcW w:w="11000" w:type="dxa"/>
            <w:gridSpan w:val="4"/>
            <w:tcBorders>
              <w:top w:val="nil"/>
              <w:left w:val="nil"/>
              <w:bottom w:val="nil"/>
              <w:right w:val="nil"/>
            </w:tcBorders>
            <w:tcMar>
              <w:bottom w:w="120" w:type="dxa"/>
            </w:tcMar>
          </w:tcPr>
          <w:p w:rsidR="00FF187C" w:rsidRPr="005527EE" w:rsidRDefault="00B54166">
            <w:pPr>
              <w:spacing w:after="280" w:afterAutospacing="1"/>
            </w:pPr>
            <w:r>
              <w:t>This syllabus is a record of learning outcomes associated with this course. Many institutions will require a copy of this syllabus to grant transfer credit. It is the student’s responsibility to retain a copy for future use.</w:t>
            </w:r>
          </w:p>
          <w:p w:rsidR="00356E5C" w:rsidRDefault="00B54166">
            <w:pPr>
              <w:spacing w:after="280" w:afterAutospacing="1"/>
            </w:pPr>
            <w: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bl>
    <w:p w:rsidR="00FF187C" w:rsidRPr="005527EE" w:rsidRDefault="00FF187C">
      <w:pPr>
        <w:rPr>
          <w:b/>
        </w:rPr>
      </w:pPr>
    </w:p>
    <w:sectPr w:rsidR="00FF187C" w:rsidRPr="005527EE" w:rsidSect="00FF187C">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6DB" w:rsidRDefault="007746DB">
      <w:pPr>
        <w:spacing w:after="0"/>
      </w:pPr>
      <w:r>
        <w:separator/>
      </w:r>
    </w:p>
  </w:endnote>
  <w:endnote w:type="continuationSeparator" w:id="0">
    <w:p w:rsidR="007746DB" w:rsidRDefault="007746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87C" w:rsidRPr="00067697" w:rsidRDefault="00067697" w:rsidP="00067697">
    <w:pPr>
      <w:pStyle w:val="Footer"/>
    </w:pPr>
    <w:r>
      <w:t>8/18 LT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6DB" w:rsidRDefault="007746DB">
      <w:pPr>
        <w:spacing w:after="0"/>
      </w:pPr>
      <w:r>
        <w:separator/>
      </w:r>
    </w:p>
  </w:footnote>
  <w:footnote w:type="continuationSeparator" w:id="0">
    <w:p w:rsidR="007746DB" w:rsidRDefault="007746DB">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CBA03146">
      <w:start w:val="1"/>
      <w:numFmt w:val="decimal"/>
      <w:lvlText w:val="%1."/>
      <w:lvlJc w:val="center"/>
      <w:pPr>
        <w:ind w:left="720" w:hanging="360"/>
      </w:pPr>
      <w:rPr>
        <w:rFonts w:hint="default"/>
      </w:rPr>
    </w:lvl>
    <w:lvl w:ilvl="1" w:tplc="A8A8E962" w:tentative="1">
      <w:start w:val="1"/>
      <w:numFmt w:val="lowerLetter"/>
      <w:lvlText w:val="%2."/>
      <w:lvlJc w:val="left"/>
      <w:pPr>
        <w:ind w:left="1440" w:hanging="360"/>
      </w:pPr>
    </w:lvl>
    <w:lvl w:ilvl="2" w:tplc="E5AA65C0" w:tentative="1">
      <w:start w:val="1"/>
      <w:numFmt w:val="lowerRoman"/>
      <w:lvlText w:val="%3."/>
      <w:lvlJc w:val="right"/>
      <w:pPr>
        <w:ind w:left="2160" w:hanging="180"/>
      </w:pPr>
    </w:lvl>
    <w:lvl w:ilvl="3" w:tplc="E53A7182" w:tentative="1">
      <w:start w:val="1"/>
      <w:numFmt w:val="decimal"/>
      <w:lvlText w:val="%4."/>
      <w:lvlJc w:val="left"/>
      <w:pPr>
        <w:ind w:left="2880" w:hanging="360"/>
      </w:pPr>
    </w:lvl>
    <w:lvl w:ilvl="4" w:tplc="23AA9CBC" w:tentative="1">
      <w:start w:val="1"/>
      <w:numFmt w:val="lowerLetter"/>
      <w:lvlText w:val="%5."/>
      <w:lvlJc w:val="left"/>
      <w:pPr>
        <w:ind w:left="3600" w:hanging="360"/>
      </w:pPr>
    </w:lvl>
    <w:lvl w:ilvl="5" w:tplc="82AA42BE" w:tentative="1">
      <w:start w:val="1"/>
      <w:numFmt w:val="lowerRoman"/>
      <w:lvlText w:val="%6."/>
      <w:lvlJc w:val="right"/>
      <w:pPr>
        <w:ind w:left="4320" w:hanging="180"/>
      </w:pPr>
    </w:lvl>
    <w:lvl w:ilvl="6" w:tplc="FD9607FE" w:tentative="1">
      <w:start w:val="1"/>
      <w:numFmt w:val="decimal"/>
      <w:lvlText w:val="%7."/>
      <w:lvlJc w:val="left"/>
      <w:pPr>
        <w:ind w:left="5040" w:hanging="360"/>
      </w:pPr>
    </w:lvl>
    <w:lvl w:ilvl="7" w:tplc="15F6C06A" w:tentative="1">
      <w:start w:val="1"/>
      <w:numFmt w:val="lowerLetter"/>
      <w:lvlText w:val="%8."/>
      <w:lvlJc w:val="left"/>
      <w:pPr>
        <w:ind w:left="5760" w:hanging="360"/>
      </w:pPr>
    </w:lvl>
    <w:lvl w:ilvl="8" w:tplc="18608B02" w:tentative="1">
      <w:start w:val="1"/>
      <w:numFmt w:val="lowerRoman"/>
      <w:lvlText w:val="%9."/>
      <w:lvlJc w:val="right"/>
      <w:pPr>
        <w:ind w:left="6480" w:hanging="180"/>
      </w:pPr>
    </w:lvl>
  </w:abstractNum>
  <w:abstractNum w:abstractNumId="11" w15:restartNumberingAfterBreak="0">
    <w:nsid w:val="0D7F7380"/>
    <w:multiLevelType w:val="hybridMultilevel"/>
    <w:tmpl w:val="E1AC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E56A6"/>
    <w:multiLevelType w:val="multilevel"/>
    <w:tmpl w:val="CBFA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154D7"/>
    <w:multiLevelType w:val="hybridMultilevel"/>
    <w:tmpl w:val="5FD0397A"/>
    <w:lvl w:ilvl="0" w:tplc="BA26D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835242"/>
    <w:multiLevelType w:val="hybridMultilevel"/>
    <w:tmpl w:val="F78C4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7067F04">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5C"/>
    <w:rsid w:val="0005694E"/>
    <w:rsid w:val="00067697"/>
    <w:rsid w:val="000C2ADB"/>
    <w:rsid w:val="000D7F5D"/>
    <w:rsid w:val="0013165D"/>
    <w:rsid w:val="00304E62"/>
    <w:rsid w:val="00330A61"/>
    <w:rsid w:val="00356E5C"/>
    <w:rsid w:val="003C1DEC"/>
    <w:rsid w:val="00421980"/>
    <w:rsid w:val="00484196"/>
    <w:rsid w:val="00550C09"/>
    <w:rsid w:val="006A2942"/>
    <w:rsid w:val="007746DB"/>
    <w:rsid w:val="007D2616"/>
    <w:rsid w:val="00815D27"/>
    <w:rsid w:val="00831AD0"/>
    <w:rsid w:val="008511CD"/>
    <w:rsid w:val="008B0D0B"/>
    <w:rsid w:val="00987543"/>
    <w:rsid w:val="00B1344E"/>
    <w:rsid w:val="00B54166"/>
    <w:rsid w:val="00EB6D07"/>
    <w:rsid w:val="00EF5DF5"/>
    <w:rsid w:val="00F36FFB"/>
    <w:rsid w:val="00F45A16"/>
    <w:rsid w:val="00FF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361FC-28C5-4632-A7AF-59F79424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rsid w:val="00EF7B96"/>
    <w:pPr>
      <w:spacing w:after="0"/>
      <w:jc w:val="right"/>
    </w:pPr>
    <w:rPr>
      <w:sz w:val="18"/>
    </w:rPr>
  </w:style>
  <w:style w:type="paragraph" w:styleId="Footer">
    <w:name w:val="footer"/>
    <w:basedOn w:val="Normal"/>
    <w:link w:val="FooterChar"/>
    <w:uiPriority w:val="99"/>
    <w:unhideWhenUsed/>
    <w:rsid w:val="00067697"/>
    <w:pPr>
      <w:tabs>
        <w:tab w:val="center" w:pos="4680"/>
        <w:tab w:val="right" w:pos="9360"/>
      </w:tabs>
      <w:spacing w:after="0"/>
    </w:pPr>
  </w:style>
  <w:style w:type="character" w:customStyle="1" w:styleId="FooterChar">
    <w:name w:val="Footer Char"/>
    <w:basedOn w:val="DefaultParagraphFont"/>
    <w:link w:val="Footer"/>
    <w:uiPriority w:val="99"/>
    <w:rsid w:val="00067697"/>
    <w:rPr>
      <w:rFonts w:asciiTheme="minorHAnsi" w:eastAsiaTheme="minorEastAsia" w:hAnsiTheme="minorHAns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23379">
      <w:bodyDiv w:val="1"/>
      <w:marLeft w:val="0"/>
      <w:marRight w:val="0"/>
      <w:marTop w:val="0"/>
      <w:marBottom w:val="0"/>
      <w:divBdr>
        <w:top w:val="none" w:sz="0" w:space="0" w:color="auto"/>
        <w:left w:val="none" w:sz="0" w:space="0" w:color="auto"/>
        <w:bottom w:val="none" w:sz="0" w:space="0" w:color="auto"/>
        <w:right w:val="none" w:sz="0" w:space="0" w:color="auto"/>
      </w:divBdr>
    </w:div>
    <w:div w:id="1368263743">
      <w:bodyDiv w:val="1"/>
      <w:marLeft w:val="0"/>
      <w:marRight w:val="0"/>
      <w:marTop w:val="0"/>
      <w:marBottom w:val="0"/>
      <w:divBdr>
        <w:top w:val="none" w:sz="0" w:space="0" w:color="auto"/>
        <w:left w:val="none" w:sz="0" w:space="0" w:color="auto"/>
        <w:bottom w:val="none" w:sz="0" w:space="0" w:color="auto"/>
        <w:right w:val="none" w:sz="0" w:space="0" w:color="auto"/>
      </w:divBdr>
    </w:div>
    <w:div w:id="1722286658">
      <w:bodyDiv w:val="1"/>
      <w:marLeft w:val="0"/>
      <w:marRight w:val="0"/>
      <w:marTop w:val="0"/>
      <w:marBottom w:val="0"/>
      <w:divBdr>
        <w:top w:val="none" w:sz="0" w:space="0" w:color="auto"/>
        <w:left w:val="none" w:sz="0" w:space="0" w:color="auto"/>
        <w:bottom w:val="none" w:sz="0" w:space="0" w:color="auto"/>
        <w:right w:val="none" w:sz="0" w:space="0" w:color="auto"/>
      </w:divBdr>
    </w:div>
    <w:div w:id="20247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racking.cirrusinsight.com/854fa056-8147-4124-a276-4ff4baa7a6e2/frc-shadowhealth-com-wp-content-uploads-2017-07-introduction-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cking.cirrusinsight.com/854fa056-8147-4124-a276-4ff4baa7a6e2/shadow-desk-com-customer-portal-articles-963290-dce-recommended-system-specification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student-webinar" TargetMode="External"/><Relationship Id="rId5" Type="http://schemas.openxmlformats.org/officeDocument/2006/relationships/webSettings" Target="webSettings.xml"/><Relationship Id="rId15" Type="http://schemas.openxmlformats.org/officeDocument/2006/relationships/hyperlink" Target="http://www.kellogg.edu/services/student-support-services/" TargetMode="External"/><Relationship Id="rId10" Type="http://schemas.openxmlformats.org/officeDocument/2006/relationships/hyperlink" Target="https://app.shadowhealth.com/" TargetMode="External"/><Relationship Id="rId4" Type="http://schemas.openxmlformats.org/officeDocument/2006/relationships/settings" Target="settings.xml"/><Relationship Id="rId9" Type="http://schemas.openxmlformats.org/officeDocument/2006/relationships/hyperlink" Target="file:///C:\Users\k0302644\Downloads\Moodle" TargetMode="External"/><Relationship Id="rId14" Type="http://schemas.openxmlformats.org/officeDocument/2006/relationships/hyperlink" Target="mailto:support@shadowhealth.com" TargetMode="Externa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6D49A-5899-40D2-BF52-4FF0922F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5201</Words>
  <Characters>29648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cp:lastPrinted>2017-08-25T16:13:00Z</cp:lastPrinted>
  <dcterms:created xsi:type="dcterms:W3CDTF">2019-05-24T19:18:00Z</dcterms:created>
  <dcterms:modified xsi:type="dcterms:W3CDTF">2019-05-24T19:18:00Z</dcterms:modified>
</cp:coreProperties>
</file>