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NV-1710-0118 - Inter-service Builder A School USN</w:t>
              <w:br/>
              <w:t>Upon completion of the course, the student will be able to read basic construction plans; install doors and windows; lay roofing shingles; understand safe handling and use of construction tools and equipment; perform basic tasks such as concrete, masonry, and light frame construction; perform concrete emplacement ; perform wood framing build masonry structures; apply interior finishes; perform addition, subtraction, division, and multiplications calculations; calculate volume, area, ratios, and proportions; convert feet, inches, and fractions to decimal equivalents; calculate quantity and costs of masonry, wood, concrete, and interior finish building materials; schedule and manage construction jobs; determine material requirements for a specific construction job; perform the basic mathematical functions related to construction estimating; interpret construction plans; interpret construction specifications; and interpret building codes.</w:t>
            </w:r>
          </w:p>
        </w:tc>
      </w:tr>
      <w:tr w:rsidR="00015A1F" w14:paraId="203BE164" w14:textId="77777777" w:rsidTr="00B67752">
        <w:tc>
          <w:tcPr>
            <w:tcW w:w="3077" w:type="dxa"/>
          </w:tcPr>
          <w:p>
            <w:r>
              <w:t>Evaluator Name:</w:t>
              <w:br/>
              <w:t>Thomas R. Humphreys</w:t>
              <w:br/>
              <w:t>Department:</w:t>
              <w:br/>
              <w:t>IRM</w:t>
            </w:r>
          </w:p>
        </w:tc>
        <w:tc>
          <w:tcPr>
            <w:tcW w:w="7088" w:type="dxa"/>
          </w:tcPr>
          <w:p>
            <w:r>
              <w:t>Olivet College course being considered for possible equivalency:</w:t>
              <w:br/>
              <w:t>IRM 340 - Insurance Claims Principles and Practices</w:t>
              <w:br/>
              <w:t>The course will introduce the student to the operations of professional claims handling. Two fundamental principles will be emphasized in all aspects of the class. They are customer service and utmost good faith. The course gives students the opportunity to build a strong foundation for effective investigative and litigation techniques. The student will also learn how to avoid costly lawsuits by practicing good-faith claims handling and effective communication and negotiation skills. A general claims overview will be followed with specific topic areas of Property and Liability claims handling.</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Effectively write a roof claim estimate.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pre-engineered building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Effectively write a total house fire estimate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pre-engineered building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Effectively write an interior water claim estimate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pre-engineered building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the importance of customer service and good faith in the contract application.</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heavy timber bridge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Properly investigate and evaluate a simple liability claim.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heavy timber bridge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Properly investigate, evaluate and settle a complex liability claim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perform, under supervision, masonry construction, light frame construction, interior and exterior finishing</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Demonstrate an understanding of the claims contractual relationship between the insurance company, first parties and third parties.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perform, under supervision, masonry construction, light frame construction, interior and exterior finishing</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Demonstrate an understanding of the investigative, evolutional process and settlement process as it pertains to Property and Liability claims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read and understand special drawings and specificatins for light frame construction, heavy timber bridge construction, and pre-engineered buildings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