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48" w:type="dxa"/>
        <w:jc w:val="center"/>
        <w:tblCellSpacing w:w="0" w:type="dxa"/>
        <w:tblCellMar>
          <w:left w:w="0" w:type="dxa"/>
          <w:right w:w="0" w:type="dxa"/>
        </w:tblCellMar>
        <w:tblLook w:val="04A0" w:firstRow="1" w:lastRow="0" w:firstColumn="1" w:lastColumn="0" w:noHBand="0" w:noVBand="1"/>
      </w:tblPr>
      <w:tblGrid>
        <w:gridCol w:w="9948"/>
      </w:tblGrid>
      <w:tr w:rsidR="00993A90" w:rsidRPr="00993A90">
        <w:trPr>
          <w:tblCellSpacing w:w="0" w:type="dxa"/>
          <w:jc w:val="center"/>
        </w:trPr>
        <w:tc>
          <w:tcPr>
            <w:tcW w:w="0" w:type="auto"/>
            <w:vAlign w:val="center"/>
            <w:hideMark/>
          </w:tcPr>
          <w:tbl>
            <w:tblPr>
              <w:tblW w:w="4500" w:type="pct"/>
              <w:tblCellSpacing w:w="0" w:type="dxa"/>
              <w:tblInd w:w="675" w:type="dxa"/>
              <w:tblCellMar>
                <w:left w:w="0" w:type="dxa"/>
                <w:right w:w="0" w:type="dxa"/>
              </w:tblCellMar>
              <w:tblLook w:val="04A0" w:firstRow="1" w:lastRow="0" w:firstColumn="1" w:lastColumn="0" w:noHBand="0" w:noVBand="1"/>
            </w:tblPr>
            <w:tblGrid>
              <w:gridCol w:w="8953"/>
            </w:tblGrid>
            <w:tr w:rsidR="00993A90" w:rsidRPr="00993A90">
              <w:trPr>
                <w:tblCellSpacing w:w="0" w:type="dxa"/>
              </w:trPr>
              <w:tc>
                <w:tcPr>
                  <w:tcW w:w="0" w:type="auto"/>
                  <w:vAlign w:val="center"/>
                  <w:hideMark/>
                </w:tcPr>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b/>
                      <w:bCs/>
                      <w:kern w:val="0"/>
                      <w:szCs w:val="21"/>
                    </w:rPr>
                    <w:t>第一章　总 则</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第一条</w:t>
                  </w:r>
                  <w:r w:rsidRPr="00993A90">
                    <w:rPr>
                      <w:rFonts w:ascii="宋体" w:eastAsia="宋体" w:hAnsi="宋体" w:cs="宋体"/>
                      <w:kern w:val="0"/>
                      <w:szCs w:val="21"/>
                    </w:rPr>
                    <w:t xml:space="preserve">　为加强期货交易风险管理，保护期货交易当事人的合法权益，保障中国金融期货交易所（以下简称交易所）期货交易的正常进行，根据《中国金融期货交易所交易规则》，制定本办法。</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第二条　</w:t>
                  </w:r>
                  <w:r w:rsidRPr="00993A90">
                    <w:rPr>
                      <w:rFonts w:ascii="宋体" w:eastAsia="宋体" w:hAnsi="宋体" w:cs="宋体"/>
                      <w:kern w:val="0"/>
                      <w:szCs w:val="21"/>
                    </w:rPr>
                    <w:t>交易所风险管理实行保证金制度、涨跌停板制度、持仓限额制度、大户持仓报告制度、强行平仓制度、强制减仓制度、结算担保金制度和风险警示制度。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第三条</w:t>
                  </w:r>
                  <w:r w:rsidRPr="00993A90">
                    <w:rPr>
                      <w:rFonts w:ascii="宋体" w:eastAsia="宋体" w:hAnsi="宋体" w:cs="宋体"/>
                      <w:kern w:val="0"/>
                      <w:szCs w:val="21"/>
                    </w:rPr>
                    <w:t xml:space="preserve">　交易所、会员和客户应当遵守本办法。</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b/>
                      <w:bCs/>
                      <w:kern w:val="0"/>
                      <w:szCs w:val="21"/>
                    </w:rPr>
                    <w:t>第二章　保证金制度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第四条</w:t>
                  </w:r>
                  <w:r w:rsidRPr="00993A90">
                    <w:rPr>
                      <w:rFonts w:ascii="宋体" w:eastAsia="宋体" w:hAnsi="宋体" w:cs="宋体"/>
                      <w:kern w:val="0"/>
                      <w:szCs w:val="21"/>
                    </w:rPr>
                    <w:t xml:space="preserve">　交易所实行保证金制度。保证金分为结算准备金和交易保证金。</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第五条</w:t>
                  </w:r>
                  <w:r w:rsidRPr="00993A90">
                    <w:rPr>
                      <w:rFonts w:ascii="宋体" w:eastAsia="宋体" w:hAnsi="宋体" w:cs="宋体"/>
                      <w:kern w:val="0"/>
                      <w:szCs w:val="21"/>
                    </w:rPr>
                    <w:t xml:space="preserve">　股指期货合约最低交易保证金标准为12％。期货交易过程中，出现下列情形之一的，交易所可以根据市场风险状况调整交易保证金标准，并向中国证券监督管理委员会（以下简称中国证监会）报告：</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期货交易出现涨跌停板单边无连续报价（以下简称单边市）；</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（二）</w:t>
                  </w:r>
                  <w:r w:rsidRPr="00993A90">
                    <w:rPr>
                      <w:rFonts w:ascii="宋体" w:eastAsia="宋体" w:hAnsi="宋体" w:cs="宋体"/>
                      <w:kern w:val="0"/>
                      <w:szCs w:val="21"/>
                    </w:rPr>
                    <w:t>遇国家法定长假；</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（三）</w:t>
                  </w:r>
                  <w:r w:rsidRPr="00993A90">
                    <w:rPr>
                      <w:rFonts w:ascii="宋体" w:eastAsia="宋体" w:hAnsi="宋体" w:cs="宋体"/>
                      <w:kern w:val="0"/>
                      <w:szCs w:val="21"/>
                    </w:rPr>
                    <w:t>交易所认为市场风险明显变化；</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（四）</w:t>
                  </w:r>
                  <w:r w:rsidRPr="00993A90">
                    <w:rPr>
                      <w:rFonts w:ascii="宋体" w:eastAsia="宋体" w:hAnsi="宋体" w:cs="宋体"/>
                      <w:kern w:val="0"/>
                      <w:szCs w:val="21"/>
                    </w:rPr>
                    <w:t>交易所认为必要的其他情形。</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单边市是指某一合约收市前5分钟内出现只有停板价格的买入（卖出）申报、没有停板价格的卖出（买入）申报，或者一有卖出（买入）申报就成交、但未打开停板价格的情形。</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第六条</w:t>
                  </w:r>
                  <w:r w:rsidRPr="00993A90">
                    <w:rPr>
                      <w:rFonts w:ascii="宋体" w:eastAsia="宋体" w:hAnsi="宋体" w:cs="宋体"/>
                      <w:kern w:val="0"/>
                      <w:szCs w:val="21"/>
                    </w:rPr>
                    <w:t xml:space="preserve">　交易所调整期货合约交易保证金标准的，在当日结算时对该合约的所有持仓按照调整后的交易保证金标准进行结算。</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第七条　</w:t>
                  </w:r>
                  <w:r w:rsidRPr="00993A90">
                    <w:rPr>
                      <w:rFonts w:ascii="宋体" w:eastAsia="宋体" w:hAnsi="宋体" w:cs="宋体"/>
                      <w:kern w:val="0"/>
                      <w:szCs w:val="21"/>
                    </w:rPr>
                    <w:t>结算准备金的管理适用《中国金融期货交易所结算细则》的有关规定。</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b/>
                      <w:bCs/>
                      <w:kern w:val="0"/>
                      <w:szCs w:val="21"/>
                    </w:rPr>
                    <w:t>第三章 涨跌停板制度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lastRenderedPageBreak/>
                    <w:t xml:space="preserve">　　第八条　</w:t>
                  </w:r>
                  <w:r w:rsidRPr="00993A90">
                    <w:rPr>
                      <w:rFonts w:ascii="宋体" w:eastAsia="宋体" w:hAnsi="宋体" w:cs="宋体"/>
                      <w:kern w:val="0"/>
                      <w:szCs w:val="21"/>
                    </w:rPr>
                    <w:t>交易所实行涨跌停板制度。涨跌停板幅度由交易所设定，交易所可以根据市场风险状况调整涨跌停板幅度。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第九条</w:t>
                  </w:r>
                  <w:r w:rsidRPr="00993A90">
                    <w:rPr>
                      <w:rFonts w:ascii="宋体" w:eastAsia="宋体" w:hAnsi="宋体" w:cs="宋体"/>
                      <w:kern w:val="0"/>
                      <w:szCs w:val="21"/>
                    </w:rPr>
                    <w:t xml:space="preserve">　股指期货合约的涨跌停板幅度为上一交易日结算价的±10％。</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proofErr w:type="gramStart"/>
                  <w:r w:rsidRPr="00993A90">
                    <w:rPr>
                      <w:rFonts w:ascii="宋体" w:eastAsia="宋体" w:hAnsi="宋体" w:cs="宋体"/>
                      <w:kern w:val="0"/>
                      <w:szCs w:val="21"/>
                    </w:rPr>
                    <w:t>季月合约</w:t>
                  </w:r>
                  <w:proofErr w:type="gramEnd"/>
                  <w:r w:rsidRPr="00993A90">
                    <w:rPr>
                      <w:rFonts w:ascii="宋体" w:eastAsia="宋体" w:hAnsi="宋体" w:cs="宋体"/>
                      <w:kern w:val="0"/>
                      <w:szCs w:val="21"/>
                    </w:rPr>
                    <w:t>上市首日涨跌停板幅度为挂盘基准价的±20％。上市首日有成交的，于下一交易日恢复到合约规定的涨跌停板幅度；上市首日无成交的，下一交易日继续执行前一交易日的涨跌停板幅度。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股指期货合约最后交易日涨跌停板幅度为上一交易日结算价的±20％。</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w:t>
                  </w:r>
                  <w:r w:rsidRPr="00993A90">
                    <w:rPr>
                      <w:rFonts w:ascii="宋体" w:eastAsia="宋体" w:hAnsi="宋体" w:cs="宋体"/>
                      <w:b/>
                      <w:bCs/>
                      <w:kern w:val="0"/>
                      <w:szCs w:val="21"/>
                    </w:rPr>
                    <w:t>第十条</w:t>
                  </w:r>
                  <w:r w:rsidRPr="00993A90">
                    <w:rPr>
                      <w:rFonts w:ascii="宋体" w:eastAsia="宋体" w:hAnsi="宋体" w:cs="宋体"/>
                      <w:kern w:val="0"/>
                      <w:szCs w:val="21"/>
                    </w:rPr>
                    <w:t xml:space="preserve">　期货合约连续两个交易日出现同方向单边市（第一个单边市的交易日称为D1交易日，第二个单边市的交易日称为D2交易日，D1交易日前一交易日称为D0交易日，下同），D2交易日为最后交易日的，该合约直接进行交割结算；D2交易日不是最后交易日的，交易所有权根据市场情况采取下列风险控制措施中的一种或者多种：提高交易保证金标准、限制开仓、限制出金、限期平仓、强行平仓、暂停交易、调整涨跌停板幅度、强制减</w:t>
                  </w:r>
                  <w:proofErr w:type="gramStart"/>
                  <w:r w:rsidRPr="00993A90">
                    <w:rPr>
                      <w:rFonts w:ascii="宋体" w:eastAsia="宋体" w:hAnsi="宋体" w:cs="宋体"/>
                      <w:kern w:val="0"/>
                      <w:szCs w:val="21"/>
                    </w:rPr>
                    <w:t>仓或者</w:t>
                  </w:r>
                  <w:proofErr w:type="gramEnd"/>
                  <w:r w:rsidRPr="00993A90">
                    <w:rPr>
                      <w:rFonts w:ascii="宋体" w:eastAsia="宋体" w:hAnsi="宋体" w:cs="宋体"/>
                      <w:kern w:val="0"/>
                      <w:szCs w:val="21"/>
                    </w:rPr>
                    <w:t>其他风险控制措施。</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b/>
                      <w:bCs/>
                      <w:kern w:val="0"/>
                      <w:szCs w:val="21"/>
                    </w:rPr>
                    <w:t>第四章 持仓限额制度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第十一条</w:t>
                  </w:r>
                  <w:r w:rsidRPr="00993A90">
                    <w:rPr>
                      <w:rFonts w:ascii="宋体" w:eastAsia="宋体" w:hAnsi="宋体" w:cs="宋体"/>
                      <w:kern w:val="0"/>
                      <w:szCs w:val="21"/>
                    </w:rPr>
                    <w:t xml:space="preserve">　交易所实行持仓限额制度。持仓限额是指交易所规定的会员或者客户对某一合约单边持仓的最大数量。</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第十二条　</w:t>
                  </w:r>
                  <w:r w:rsidRPr="00993A90">
                    <w:rPr>
                      <w:rFonts w:ascii="宋体" w:eastAsia="宋体" w:hAnsi="宋体" w:cs="宋体"/>
                      <w:kern w:val="0"/>
                      <w:szCs w:val="21"/>
                    </w:rPr>
                    <w:t>同一客户在不同会员处开仓交易，其在某一合约单边持仓合计不得超出该客户的持仓限额。</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第十三条</w:t>
                  </w:r>
                  <w:r w:rsidRPr="00993A90">
                    <w:rPr>
                      <w:rFonts w:ascii="宋体" w:eastAsia="宋体" w:hAnsi="宋体" w:cs="宋体"/>
                      <w:kern w:val="0"/>
                      <w:szCs w:val="21"/>
                    </w:rPr>
                    <w:t xml:space="preserve">　会员和客户的股指期货合约持仓限额具体规定如下： </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进行投机交易的</w:t>
                  </w:r>
                  <w:proofErr w:type="gramStart"/>
                  <w:r w:rsidRPr="00993A90">
                    <w:rPr>
                      <w:rFonts w:ascii="宋体" w:eastAsia="宋体" w:hAnsi="宋体" w:cs="宋体"/>
                      <w:kern w:val="0"/>
                      <w:szCs w:val="21"/>
                    </w:rPr>
                    <w:t>客户号某一</w:t>
                  </w:r>
                  <w:proofErr w:type="gramEnd"/>
                  <w:r w:rsidRPr="00993A90">
                    <w:rPr>
                      <w:rFonts w:ascii="宋体" w:eastAsia="宋体" w:hAnsi="宋体" w:cs="宋体"/>
                      <w:kern w:val="0"/>
                      <w:szCs w:val="21"/>
                    </w:rPr>
                    <w:t>合约单边持仓限额为100手；</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（二）</w:t>
                  </w:r>
                  <w:r w:rsidRPr="00993A90">
                    <w:rPr>
                      <w:rFonts w:ascii="宋体" w:eastAsia="宋体" w:hAnsi="宋体" w:cs="宋体"/>
                      <w:kern w:val="0"/>
                      <w:szCs w:val="21"/>
                    </w:rPr>
                    <w:t>某一合约结算后单边总持仓量超过10万手的，结算会员下一交易日该合约单边持仓量不得超过该合约单边总持仓量的25％；</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进行套期保值交易和套利交易的客户号的持仓按照交易所有关规定执行，不受前款第一项限制。</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第十四条</w:t>
                  </w:r>
                  <w:r w:rsidRPr="00993A90">
                    <w:rPr>
                      <w:rFonts w:ascii="宋体" w:eastAsia="宋体" w:hAnsi="宋体" w:cs="宋体"/>
                      <w:kern w:val="0"/>
                      <w:szCs w:val="21"/>
                    </w:rPr>
                    <w:t xml:space="preserve">　会员、客户持仓达到或者超过持仓限额的，不得同方向开仓交易。</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b/>
                      <w:bCs/>
                      <w:kern w:val="0"/>
                      <w:szCs w:val="21"/>
                    </w:rPr>
                    <w:lastRenderedPageBreak/>
                    <w:t>第五章 大户持仓报告制度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第十五条　</w:t>
                  </w:r>
                  <w:r w:rsidRPr="00993A90">
                    <w:rPr>
                      <w:rFonts w:ascii="宋体" w:eastAsia="宋体" w:hAnsi="宋体" w:cs="宋体"/>
                      <w:kern w:val="0"/>
                      <w:szCs w:val="21"/>
                    </w:rPr>
                    <w:t>交易所实行大户持仓报告制度。交易所可以根据市场风险状况，公布持仓报告标准。</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从事自营业务的交易会员或者客户，进行套期保值交易、套利交易、投机交易的不同客户号下的持仓应当合并计算；同一客户在不同会员处的持仓合并计算。</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第十六条</w:t>
                  </w:r>
                  <w:r w:rsidRPr="00993A90">
                    <w:rPr>
                      <w:rFonts w:ascii="宋体" w:eastAsia="宋体" w:hAnsi="宋体" w:cs="宋体"/>
                      <w:kern w:val="0"/>
                      <w:szCs w:val="21"/>
                    </w:rPr>
                    <w:t xml:space="preserve">　会员或者客户持仓达到交易所规定的报告标准或者交易所要求报告的，应当于下一交易日收市前向交易所报告。</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客户未报告的，开户会员应当向交易所报告。客户在多个会员处开户的，由交易所指定有关会员向交易所报送该客户应当报告的有关资料。交易所有权要求会员、客户再次报告或者补充报告。　</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第十七条</w:t>
                  </w:r>
                  <w:r w:rsidRPr="00993A90">
                    <w:rPr>
                      <w:rFonts w:ascii="宋体" w:eastAsia="宋体" w:hAnsi="宋体" w:cs="宋体"/>
                      <w:kern w:val="0"/>
                      <w:szCs w:val="21"/>
                    </w:rPr>
                    <w:t xml:space="preserve">　达到交易所规定报告标准或者交易所要求报告的会员或者客户应当提供下列资料：</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 xml:space="preserve"> 《大户持仓报告表》（见附件），内容包括会员名称、会员号、客户名称和客户号、合约代码、持仓量、交易保证金、可动用资金等；</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（二）</w:t>
                  </w:r>
                  <w:r w:rsidRPr="00993A90">
                    <w:rPr>
                      <w:rFonts w:ascii="宋体" w:eastAsia="宋体" w:hAnsi="宋体" w:cs="宋体"/>
                      <w:kern w:val="0"/>
                      <w:szCs w:val="21"/>
                    </w:rPr>
                    <w:t>资金来源说明；</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（三）</w:t>
                  </w:r>
                  <w:r w:rsidRPr="00993A90">
                    <w:rPr>
                      <w:rFonts w:ascii="宋体" w:eastAsia="宋体" w:hAnsi="宋体" w:cs="宋体"/>
                      <w:kern w:val="0"/>
                      <w:szCs w:val="21"/>
                    </w:rPr>
                    <w:t>法人客户的实际控制人资料；</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（四）</w:t>
                  </w:r>
                  <w:r w:rsidRPr="00993A90">
                    <w:rPr>
                      <w:rFonts w:ascii="宋体" w:eastAsia="宋体" w:hAnsi="宋体" w:cs="宋体"/>
                      <w:kern w:val="0"/>
                      <w:szCs w:val="21"/>
                    </w:rPr>
                    <w:t>开户资料及当日结算单据；</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（五）</w:t>
                  </w:r>
                  <w:r w:rsidRPr="00993A90">
                    <w:rPr>
                      <w:rFonts w:ascii="宋体" w:eastAsia="宋体" w:hAnsi="宋体" w:cs="宋体"/>
                      <w:kern w:val="0"/>
                      <w:szCs w:val="21"/>
                    </w:rPr>
                    <w:t>交易所要求提供的其他资料。</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第十八条</w:t>
                  </w:r>
                  <w:r w:rsidRPr="00993A90">
                    <w:rPr>
                      <w:rFonts w:ascii="宋体" w:eastAsia="宋体" w:hAnsi="宋体" w:cs="宋体"/>
                      <w:kern w:val="0"/>
                      <w:szCs w:val="21"/>
                    </w:rPr>
                    <w:t xml:space="preserve">　会员应当对客户提供的资料进行审核，并保证客户所提供资料的真实性和准确性。</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第十九条</w:t>
                  </w:r>
                  <w:r w:rsidRPr="00993A90">
                    <w:rPr>
                      <w:rFonts w:ascii="宋体" w:eastAsia="宋体" w:hAnsi="宋体" w:cs="宋体"/>
                      <w:kern w:val="0"/>
                      <w:szCs w:val="21"/>
                    </w:rPr>
                    <w:t xml:space="preserve">　交易所有权对会员或者客户提供的资料进行核查。</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kern w:val="0"/>
                      <w:szCs w:val="21"/>
                    </w:rPr>
                    <w:t>第六章 强行平仓制度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第二十条</w:t>
                  </w:r>
                  <w:r w:rsidRPr="00993A90">
                    <w:rPr>
                      <w:rFonts w:ascii="宋体" w:eastAsia="宋体" w:hAnsi="宋体" w:cs="宋体"/>
                      <w:kern w:val="0"/>
                      <w:szCs w:val="21"/>
                    </w:rPr>
                    <w:t xml:space="preserve">　交易所实行强行平仓制度。强行平仓是指交易所按照有关规定对会员、客户持仓实行平仓的一种强制措施。</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第二十一条</w:t>
                  </w:r>
                  <w:r w:rsidRPr="00993A90">
                    <w:rPr>
                      <w:rFonts w:ascii="宋体" w:eastAsia="宋体" w:hAnsi="宋体" w:cs="宋体"/>
                      <w:kern w:val="0"/>
                      <w:szCs w:val="21"/>
                    </w:rPr>
                    <w:t xml:space="preserve">　会员、客户出现下列情形之一的，交易所对其持仓实行强行平仓：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lastRenderedPageBreak/>
                    <w:t xml:space="preserve">　　（一）结算会员结算准备金余额小于零，且未能在第一节结束前补足；</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（二）</w:t>
                  </w:r>
                  <w:r w:rsidRPr="00993A90">
                    <w:rPr>
                      <w:rFonts w:ascii="宋体" w:eastAsia="宋体" w:hAnsi="宋体" w:cs="宋体"/>
                      <w:kern w:val="0"/>
                      <w:szCs w:val="21"/>
                    </w:rPr>
                    <w:t>客户、从事自营业务的交易会员持仓超出持仓限额标准，且未能在第一节结束前平仓；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（三）</w:t>
                  </w:r>
                  <w:r w:rsidRPr="00993A90">
                    <w:rPr>
                      <w:rFonts w:ascii="宋体" w:eastAsia="宋体" w:hAnsi="宋体" w:cs="宋体"/>
                      <w:kern w:val="0"/>
                      <w:szCs w:val="21"/>
                    </w:rPr>
                    <w:t>因违规、违约受到交易所强行平仓处理；</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（四）</w:t>
                  </w:r>
                  <w:r w:rsidRPr="00993A90">
                    <w:rPr>
                      <w:rFonts w:ascii="宋体" w:eastAsia="宋体" w:hAnsi="宋体" w:cs="宋体"/>
                      <w:kern w:val="0"/>
                      <w:szCs w:val="21"/>
                    </w:rPr>
                    <w:t>根据交易所的紧急措施应当予以强行平仓；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（五）</w:t>
                  </w:r>
                  <w:r w:rsidRPr="00993A90">
                    <w:rPr>
                      <w:rFonts w:ascii="宋体" w:eastAsia="宋体" w:hAnsi="宋体" w:cs="宋体"/>
                      <w:kern w:val="0"/>
                      <w:szCs w:val="21"/>
                    </w:rPr>
                    <w:t>交易所规定应当予以强行平仓的其他情形。</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第二十二条</w:t>
                  </w:r>
                  <w:r w:rsidRPr="00993A90">
                    <w:rPr>
                      <w:rFonts w:ascii="宋体" w:eastAsia="宋体" w:hAnsi="宋体" w:cs="宋体"/>
                      <w:kern w:val="0"/>
                      <w:szCs w:val="21"/>
                    </w:rPr>
                    <w:t xml:space="preserve">　需要强行平仓的</w:t>
                  </w:r>
                  <w:proofErr w:type="gramStart"/>
                  <w:r w:rsidRPr="00993A90">
                    <w:rPr>
                      <w:rFonts w:ascii="宋体" w:eastAsia="宋体" w:hAnsi="宋体" w:cs="宋体"/>
                      <w:kern w:val="0"/>
                      <w:szCs w:val="21"/>
                    </w:rPr>
                    <w:t>头寸先</w:t>
                  </w:r>
                  <w:proofErr w:type="gramEnd"/>
                  <w:r w:rsidRPr="00993A90">
                    <w:rPr>
                      <w:rFonts w:ascii="宋体" w:eastAsia="宋体" w:hAnsi="宋体" w:cs="宋体"/>
                      <w:kern w:val="0"/>
                      <w:szCs w:val="21"/>
                    </w:rPr>
                    <w:t>由会员在第一节结束前执行，交易所另有规定的除外。会员未在规定时限内执行完毕的，由交易所强制执行。</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会员执行</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因本办法第二十一条第（一）、（二）项情形强行平仓的，会员执行平仓的原则由会员自行确定，平仓结果应当符合交易所规定。 </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（二）</w:t>
                  </w:r>
                  <w:r w:rsidRPr="00993A90">
                    <w:rPr>
                      <w:rFonts w:ascii="宋体" w:eastAsia="宋体" w:hAnsi="宋体" w:cs="宋体"/>
                      <w:kern w:val="0"/>
                      <w:szCs w:val="21"/>
                    </w:rPr>
                    <w:t>交易所执行</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1.因本办法第二十一条第（一）项情形强行平仓的：</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对需要强行平仓的头寸，由交易所按照上一交易日结算后合约总持仓量由大到小顺序，优先选择持仓量大的合约作为强行平仓的合约，再按照该会员该合约所有客户持仓比例分配。</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交易所对多个结算会员强行平仓的，按照应当追加保证金数额由大到小的顺序依次选择强行平仓的结算会员。</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2.因本办法第二十一条第（二）项情形强行平仓的：</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交易所对超</w:t>
                  </w:r>
                  <w:proofErr w:type="gramStart"/>
                  <w:r w:rsidRPr="00993A90">
                    <w:rPr>
                      <w:rFonts w:ascii="宋体" w:eastAsia="宋体" w:hAnsi="宋体" w:cs="宋体"/>
                      <w:kern w:val="0"/>
                      <w:szCs w:val="21"/>
                    </w:rPr>
                    <w:t>仓头</w:t>
                  </w:r>
                  <w:proofErr w:type="gramEnd"/>
                  <w:r w:rsidRPr="00993A90">
                    <w:rPr>
                      <w:rFonts w:ascii="宋体" w:eastAsia="宋体" w:hAnsi="宋体" w:cs="宋体"/>
                      <w:kern w:val="0"/>
                      <w:szCs w:val="21"/>
                    </w:rPr>
                    <w:t>寸进行强行平仓的，客户在多个会员处持仓时，按照持仓数量由大到小的顺序选择会员强行平仓。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3.因本办法第二十一条第（三）、（四）、（五）项情形强行平仓的，交易所根据涉及的会员或者客户的具体情况确定强行平</w:t>
                  </w:r>
                  <w:proofErr w:type="gramStart"/>
                  <w:r w:rsidRPr="00993A90">
                    <w:rPr>
                      <w:rFonts w:ascii="宋体" w:eastAsia="宋体" w:hAnsi="宋体" w:cs="宋体"/>
                      <w:kern w:val="0"/>
                      <w:szCs w:val="21"/>
                    </w:rPr>
                    <w:t>仓头</w:t>
                  </w:r>
                  <w:proofErr w:type="gramEnd"/>
                  <w:r w:rsidRPr="00993A90">
                    <w:rPr>
                      <w:rFonts w:ascii="宋体" w:eastAsia="宋体" w:hAnsi="宋体" w:cs="宋体"/>
                      <w:kern w:val="0"/>
                      <w:szCs w:val="21"/>
                    </w:rPr>
                    <w:t>寸。</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会员同时存在本办法第二十一条第（一）、（二）项所规定情形时，交易所先按照第（二）项情形</w:t>
                  </w:r>
                  <w:r w:rsidRPr="00993A90">
                    <w:rPr>
                      <w:rFonts w:ascii="宋体" w:eastAsia="宋体" w:hAnsi="宋体" w:cs="宋体"/>
                      <w:kern w:val="0"/>
                      <w:szCs w:val="21"/>
                    </w:rPr>
                    <w:lastRenderedPageBreak/>
                    <w:t>确定强行平</w:t>
                  </w:r>
                  <w:proofErr w:type="gramStart"/>
                  <w:r w:rsidRPr="00993A90">
                    <w:rPr>
                      <w:rFonts w:ascii="宋体" w:eastAsia="宋体" w:hAnsi="宋体" w:cs="宋体"/>
                      <w:kern w:val="0"/>
                      <w:szCs w:val="21"/>
                    </w:rPr>
                    <w:t>仓头</w:t>
                  </w:r>
                  <w:proofErr w:type="gramEnd"/>
                  <w:r w:rsidRPr="00993A90">
                    <w:rPr>
                      <w:rFonts w:ascii="宋体" w:eastAsia="宋体" w:hAnsi="宋体" w:cs="宋体"/>
                      <w:kern w:val="0"/>
                      <w:szCs w:val="21"/>
                    </w:rPr>
                    <w:t>寸，再按照第（一）项情形确定强行平</w:t>
                  </w:r>
                  <w:proofErr w:type="gramStart"/>
                  <w:r w:rsidRPr="00993A90">
                    <w:rPr>
                      <w:rFonts w:ascii="宋体" w:eastAsia="宋体" w:hAnsi="宋体" w:cs="宋体"/>
                      <w:kern w:val="0"/>
                      <w:szCs w:val="21"/>
                    </w:rPr>
                    <w:t>仓头</w:t>
                  </w:r>
                  <w:proofErr w:type="gramEnd"/>
                  <w:r w:rsidRPr="00993A90">
                    <w:rPr>
                      <w:rFonts w:ascii="宋体" w:eastAsia="宋体" w:hAnsi="宋体" w:cs="宋体"/>
                      <w:kern w:val="0"/>
                      <w:szCs w:val="21"/>
                    </w:rPr>
                    <w:t>寸。</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第二十三条</w:t>
                  </w:r>
                  <w:r w:rsidRPr="00993A90">
                    <w:rPr>
                      <w:rFonts w:ascii="宋体" w:eastAsia="宋体" w:hAnsi="宋体" w:cs="宋体"/>
                      <w:kern w:val="0"/>
                      <w:szCs w:val="21"/>
                    </w:rPr>
                    <w:t xml:space="preserve">　强行平仓的执行程序</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通知</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交易所以“强行平仓通知书”（以下简称通知书）的形式向有关结算会员下达强行平仓要求。通知书随当日结算数据发送，有关结算会员可以通过交易所系统获得，交易所特别送达的除外。</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（二）</w:t>
                  </w:r>
                  <w:r w:rsidRPr="00993A90">
                    <w:rPr>
                      <w:rFonts w:ascii="宋体" w:eastAsia="宋体" w:hAnsi="宋体" w:cs="宋体"/>
                      <w:kern w:val="0"/>
                      <w:szCs w:val="21"/>
                    </w:rPr>
                    <w:t>执行及确认</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1.开市后，有关会员应当自行平仓，直至符合交易所规定；</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2.结算会员超过规定平仓时限而未执行完毕的，剩余部分由交易所执行强行平仓；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3.强行平仓结果随当日成交记录发送，有关信息可以通过交易所系统获得。</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第二十四条</w:t>
                  </w:r>
                  <w:r w:rsidRPr="00993A90">
                    <w:rPr>
                      <w:rFonts w:ascii="宋体" w:eastAsia="宋体" w:hAnsi="宋体" w:cs="宋体"/>
                      <w:kern w:val="0"/>
                      <w:szCs w:val="21"/>
                    </w:rPr>
                    <w:t xml:space="preserve">　强行平仓的价格通过市场交易形成。</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第二十五条</w:t>
                  </w:r>
                  <w:r w:rsidRPr="00993A90">
                    <w:rPr>
                      <w:rFonts w:ascii="宋体" w:eastAsia="宋体" w:hAnsi="宋体" w:cs="宋体"/>
                      <w:kern w:val="0"/>
                      <w:szCs w:val="21"/>
                    </w:rPr>
                    <w:t xml:space="preserve">　因价格涨跌停板限制或者其他市场原因，无法在规定时限内完成全部强行平仓的，剩余强行平仓数量可以顺延至下一交易日继续强行平仓，仍按照本办法第二十二条原则执行，直至符合交易所规定。</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第二十六条　</w:t>
                  </w:r>
                  <w:r w:rsidRPr="00993A90">
                    <w:rPr>
                      <w:rFonts w:ascii="宋体" w:eastAsia="宋体" w:hAnsi="宋体" w:cs="宋体"/>
                      <w:kern w:val="0"/>
                      <w:szCs w:val="21"/>
                    </w:rPr>
                    <w:t>因价格涨跌停板限制或者其他市场原因，无法在当日完成全部强行平仓的，交易所根据当日结算结果，对该会员做出相应处理。</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第二十七条</w:t>
                  </w:r>
                  <w:r w:rsidRPr="00993A90">
                    <w:rPr>
                      <w:rFonts w:ascii="宋体" w:eastAsia="宋体" w:hAnsi="宋体" w:cs="宋体"/>
                      <w:kern w:val="0"/>
                      <w:szCs w:val="21"/>
                    </w:rPr>
                    <w:t xml:space="preserve">　因价格涨跌停板限制或者其他市场原因，有关持仓的强行平仓只能延时完成的，因此产生的亏损，由直接责任人承担；未能完成平仓的，该持仓持有者应当继续对此承担持仓责任或者交割义务。</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第二十八条</w:t>
                  </w:r>
                  <w:r w:rsidRPr="00993A90">
                    <w:rPr>
                      <w:rFonts w:ascii="宋体" w:eastAsia="宋体" w:hAnsi="宋体" w:cs="宋体"/>
                      <w:kern w:val="0"/>
                      <w:szCs w:val="21"/>
                    </w:rPr>
                    <w:t xml:space="preserve">　由会员执行的强行平仓产生的盈利归直接责任人；由交易所执行的强行平仓产生的盈亏相抵后的盈利按照国家有关规定执行；因强行平仓产生的亏损由直接责任人承担。</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直接责任人是客户的，强行平仓后产生的亏损，由该客户所在会员先行承担后，自行向该客户追索。</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kern w:val="0"/>
                      <w:szCs w:val="21"/>
                    </w:rPr>
                    <w:t>第七章　强制减仓制度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lastRenderedPageBreak/>
                    <w:t xml:space="preserve">　　第二十九条</w:t>
                  </w:r>
                  <w:r w:rsidRPr="00993A90">
                    <w:rPr>
                      <w:rFonts w:ascii="宋体" w:eastAsia="宋体" w:hAnsi="宋体" w:cs="宋体"/>
                      <w:kern w:val="0"/>
                      <w:szCs w:val="21"/>
                    </w:rPr>
                    <w:t xml:space="preserve">　交易所实行强制减仓制度。强制减仓是指交易所将当日以涨跌停板价格申报的未成交平仓报单,以当日涨跌停板价格与该合约净持仓盈利客户按照持仓比例自动撮合成交。 </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第三十条</w:t>
                  </w:r>
                  <w:r w:rsidRPr="00993A90">
                    <w:rPr>
                      <w:rFonts w:ascii="宋体" w:eastAsia="宋体" w:hAnsi="宋体" w:cs="宋体"/>
                      <w:kern w:val="0"/>
                      <w:szCs w:val="21"/>
                    </w:rPr>
                    <w:t xml:space="preserve">　强制减仓的方法</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同一客户（包括从事自营业务的交易会员，本章下同）在同一合约上双向持仓的,其净持仓部分的平仓报单参与强制减仓计算，其余平仓报单与其反向持仓自动对冲平仓。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（二）</w:t>
                  </w:r>
                  <w:r w:rsidRPr="00993A90">
                    <w:rPr>
                      <w:rFonts w:ascii="宋体" w:eastAsia="宋体" w:hAnsi="宋体" w:cs="宋体"/>
                      <w:kern w:val="0"/>
                      <w:szCs w:val="21"/>
                    </w:rPr>
                    <w:t>申报平仓数量的确定</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申报平仓数量是指在D2交易日收市后,已经在交易所系统中以涨跌停板价格申报未成交的、且客户合约的单位净持仓亏损大于等于D2交易日结算价10%的所有持仓。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客户不愿按照上述方法平仓的，可以在收市前撤单。</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（三）</w:t>
                  </w:r>
                  <w:r w:rsidRPr="00993A90">
                    <w:rPr>
                      <w:rFonts w:ascii="宋体" w:eastAsia="宋体" w:hAnsi="宋体" w:cs="宋体"/>
                      <w:kern w:val="0"/>
                      <w:szCs w:val="21"/>
                    </w:rPr>
                    <w:t>客户合约单位净持仓盈亏的确定</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客户合约的单位净持仓盈亏是指客户该合约的持仓盈亏的总和除以净持仓量。客户该合约持仓盈亏的总和是指客户该合约所有持仓中，D0交易日（含）前成交的按照D0交易日结算价、D1交易日和D2交易日成交的按照实际成交价与D2交易日结算价的差额合并计算的盈亏总和。</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（四）</w:t>
                  </w:r>
                  <w:r w:rsidRPr="00993A90">
                    <w:rPr>
                      <w:rFonts w:ascii="宋体" w:eastAsia="宋体" w:hAnsi="宋体" w:cs="宋体"/>
                      <w:kern w:val="0"/>
                      <w:szCs w:val="21"/>
                    </w:rPr>
                    <w:t>单位净持仓盈利客户平仓范围的确定</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根据上述方法计算的单位净持仓盈利大于零的客户的盈利方向净持仓均列入平仓范围。</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（五）</w:t>
                  </w:r>
                  <w:r w:rsidRPr="00993A90">
                    <w:rPr>
                      <w:rFonts w:ascii="宋体" w:eastAsia="宋体" w:hAnsi="宋体" w:cs="宋体"/>
                      <w:kern w:val="0"/>
                      <w:szCs w:val="21"/>
                    </w:rPr>
                    <w:t>平仓数量的分配原则</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1.在平仓范围内按照盈利大小的不同分成三级,逐级进行分配。</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首先分配给单位净持仓盈利大于等于D2交易日结算价的10%的持仓（以下简称盈利10%以上的持仓）；其次分配给单位净持仓盈利小于D2交易日结算价的10%而大于等于6%的持仓（以下简称盈利6%以上的持仓）；最后分配给单位净持仓盈利小于D2交易日结算价的6%而大于零的持仓（以下简称盈利大于零的持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2.以上各级分配比例均按照申报平仓数量(剩余申报平仓数量)与各级可平仓的盈利持仓数量</w:t>
                  </w:r>
                  <w:r w:rsidRPr="00993A90">
                    <w:rPr>
                      <w:rFonts w:ascii="宋体" w:eastAsia="宋体" w:hAnsi="宋体" w:cs="宋体"/>
                      <w:kern w:val="0"/>
                      <w:szCs w:val="21"/>
                    </w:rPr>
                    <w:lastRenderedPageBreak/>
                    <w:t>之比进行分配。</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盈利10%以上的持仓数量大于等于申报平仓数量的,根据申报平仓数量与盈利10%以上的持仓数量的比例,将申报平仓数量向盈利10%以上的持仓分配</w:t>
                  </w:r>
                  <w:proofErr w:type="gramStart"/>
                  <w:r w:rsidRPr="00993A90">
                    <w:rPr>
                      <w:rFonts w:ascii="宋体" w:eastAsia="宋体" w:hAnsi="宋体" w:cs="宋体"/>
                      <w:kern w:val="0"/>
                      <w:szCs w:val="21"/>
                    </w:rPr>
                    <w:t>实际平仓</w:t>
                  </w:r>
                  <w:proofErr w:type="gramEnd"/>
                  <w:r w:rsidRPr="00993A90">
                    <w:rPr>
                      <w:rFonts w:ascii="宋体" w:eastAsia="宋体" w:hAnsi="宋体" w:cs="宋体"/>
                      <w:kern w:val="0"/>
                      <w:szCs w:val="21"/>
                    </w:rPr>
                    <w:t>数量。</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盈利10%以上的持仓数量小于申报平仓数量的,根据盈利10%以上的持仓数量与申报平仓数量的比例，将盈利10%以上的持仓数量向申报平仓客户分配</w:t>
                  </w:r>
                  <w:proofErr w:type="gramStart"/>
                  <w:r w:rsidRPr="00993A90">
                    <w:rPr>
                      <w:rFonts w:ascii="宋体" w:eastAsia="宋体" w:hAnsi="宋体" w:cs="宋体"/>
                      <w:kern w:val="0"/>
                      <w:szCs w:val="21"/>
                    </w:rPr>
                    <w:t>实际平仓</w:t>
                  </w:r>
                  <w:proofErr w:type="gramEnd"/>
                  <w:r w:rsidRPr="00993A90">
                    <w:rPr>
                      <w:rFonts w:ascii="宋体" w:eastAsia="宋体" w:hAnsi="宋体" w:cs="宋体"/>
                      <w:kern w:val="0"/>
                      <w:szCs w:val="21"/>
                    </w:rPr>
                    <w:t>数量；再把剩余的申报平仓数量按照上述的分配方法依次向盈利6%以上的持仓、盈利大于零的持仓分配；还有剩余的，</w:t>
                  </w:r>
                  <w:proofErr w:type="gramStart"/>
                  <w:r w:rsidRPr="00993A90">
                    <w:rPr>
                      <w:rFonts w:ascii="宋体" w:eastAsia="宋体" w:hAnsi="宋体" w:cs="宋体"/>
                      <w:kern w:val="0"/>
                      <w:szCs w:val="21"/>
                    </w:rPr>
                    <w:t>不</w:t>
                  </w:r>
                  <w:proofErr w:type="gramEnd"/>
                  <w:r w:rsidRPr="00993A90">
                    <w:rPr>
                      <w:rFonts w:ascii="宋体" w:eastAsia="宋体" w:hAnsi="宋体" w:cs="宋体"/>
                      <w:kern w:val="0"/>
                      <w:szCs w:val="21"/>
                    </w:rPr>
                    <w:t>再分配。</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（六）</w:t>
                  </w:r>
                  <w:r w:rsidRPr="00993A90">
                    <w:rPr>
                      <w:rFonts w:ascii="宋体" w:eastAsia="宋体" w:hAnsi="宋体" w:cs="宋体"/>
                      <w:kern w:val="0"/>
                      <w:szCs w:val="21"/>
                    </w:rPr>
                    <w:t>强制减仓的执行</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强制减仓于D2交易日收市后执行，强制减</w:t>
                  </w:r>
                  <w:proofErr w:type="gramStart"/>
                  <w:r w:rsidRPr="00993A90">
                    <w:rPr>
                      <w:rFonts w:ascii="宋体" w:eastAsia="宋体" w:hAnsi="宋体" w:cs="宋体"/>
                      <w:kern w:val="0"/>
                      <w:szCs w:val="21"/>
                    </w:rPr>
                    <w:t>仓结果</w:t>
                  </w:r>
                  <w:proofErr w:type="gramEnd"/>
                  <w:r w:rsidRPr="00993A90">
                    <w:rPr>
                      <w:rFonts w:ascii="宋体" w:eastAsia="宋体" w:hAnsi="宋体" w:cs="宋体"/>
                      <w:kern w:val="0"/>
                      <w:szCs w:val="21"/>
                    </w:rPr>
                    <w:t>作为D2交易日会员的交易结果。</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（七）</w:t>
                  </w:r>
                  <w:r w:rsidRPr="00993A90">
                    <w:rPr>
                      <w:rFonts w:ascii="宋体" w:eastAsia="宋体" w:hAnsi="宋体" w:cs="宋体"/>
                      <w:kern w:val="0"/>
                      <w:szCs w:val="21"/>
                    </w:rPr>
                    <w:t>强制减仓的价格</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强制减仓的价格为该合约D2交易日的涨跌停板价格。</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按照本条进行强制减</w:t>
                  </w:r>
                  <w:proofErr w:type="gramStart"/>
                  <w:r w:rsidRPr="00993A90">
                    <w:rPr>
                      <w:rFonts w:ascii="宋体" w:eastAsia="宋体" w:hAnsi="宋体" w:cs="宋体"/>
                      <w:kern w:val="0"/>
                      <w:szCs w:val="21"/>
                    </w:rPr>
                    <w:t>仓造成</w:t>
                  </w:r>
                  <w:proofErr w:type="gramEnd"/>
                  <w:r w:rsidRPr="00993A90">
                    <w:rPr>
                      <w:rFonts w:ascii="宋体" w:eastAsia="宋体" w:hAnsi="宋体" w:cs="宋体"/>
                      <w:kern w:val="0"/>
                      <w:szCs w:val="21"/>
                    </w:rPr>
                    <w:t xml:space="preserve">的损失由会员及其客户承担。　　</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第三十一条</w:t>
                  </w:r>
                  <w:r w:rsidRPr="00993A90">
                    <w:rPr>
                      <w:rFonts w:ascii="宋体" w:eastAsia="宋体" w:hAnsi="宋体" w:cs="宋体"/>
                      <w:kern w:val="0"/>
                      <w:szCs w:val="21"/>
                    </w:rPr>
                    <w:t xml:space="preserve">　该合约在采取上述措施后风险仍未释放的，交易所宣布进入异常情况，并按照有关规定采取紧急措施。</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b/>
                      <w:bCs/>
                      <w:kern w:val="0"/>
                      <w:szCs w:val="21"/>
                    </w:rPr>
                    <w:t>第八章　结算担保金制度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第三十二条　</w:t>
                  </w:r>
                  <w:r w:rsidRPr="00993A90">
                    <w:rPr>
                      <w:rFonts w:ascii="宋体" w:eastAsia="宋体" w:hAnsi="宋体" w:cs="宋体"/>
                      <w:kern w:val="0"/>
                      <w:szCs w:val="21"/>
                    </w:rPr>
                    <w:t>交易所实行结算担保金制度。结算担保金是指由结算会员依照交易所规定缴存的，用于应对结算会员违约风险的共同担保资金。</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第三十三条　</w:t>
                  </w:r>
                  <w:r w:rsidRPr="00993A90">
                    <w:rPr>
                      <w:rFonts w:ascii="宋体" w:eastAsia="宋体" w:hAnsi="宋体" w:cs="宋体"/>
                      <w:kern w:val="0"/>
                      <w:szCs w:val="21"/>
                    </w:rPr>
                    <w:t>结算担保</w:t>
                  </w:r>
                  <w:proofErr w:type="gramStart"/>
                  <w:r w:rsidRPr="00993A90">
                    <w:rPr>
                      <w:rFonts w:ascii="宋体" w:eastAsia="宋体" w:hAnsi="宋体" w:cs="宋体"/>
                      <w:kern w:val="0"/>
                      <w:szCs w:val="21"/>
                    </w:rPr>
                    <w:t>金分为</w:t>
                  </w:r>
                  <w:proofErr w:type="gramEnd"/>
                  <w:r w:rsidRPr="00993A90">
                    <w:rPr>
                      <w:rFonts w:ascii="宋体" w:eastAsia="宋体" w:hAnsi="宋体" w:cs="宋体"/>
                      <w:kern w:val="0"/>
                      <w:szCs w:val="21"/>
                    </w:rPr>
                    <w:t>基础结算担保金和变动结算担保金。基础结算担保金是指结算会员参与交易所结算交割业务必须缴纳的最低结算担保金数额。变动结算担保金是指结算会员结算担保金中超出基础结算担保金的部分，随结算会员业务量的变化而调整。结算担保金应当以现金形式缴纳。</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各类结算会员的基础结算担保金为：交易结算会员人民币1000万元，全面结算会员人民币2000万元，特别结算会员人民币3000万元。结算会员应当在签署《中国金融期货交易所结算会员协议》后第5个交易日第一节结束前，将基础结算担保金存入交易所结算担保金专用账户。</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lastRenderedPageBreak/>
                    <w:t xml:space="preserve">　　（二）</w:t>
                  </w:r>
                  <w:r w:rsidRPr="00993A90">
                    <w:rPr>
                      <w:rFonts w:ascii="宋体" w:eastAsia="宋体" w:hAnsi="宋体" w:cs="宋体"/>
                      <w:kern w:val="0"/>
                      <w:szCs w:val="21"/>
                    </w:rPr>
                    <w:t>交易所每季度首个交易日确定本季度全市场的结算担保金基数，作为计算各结算会员应当分担的结算担保金的依据。</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交易所根据结算担保金基数，按照各结算会员业务量比例计算本季度其应当分担的结算担保金。结算会员本季度应当分担的结算担保金＝结算担保金基数×（20％×该会员上一季度日均交易量/全市场上一季度日均交易量＋80％×该会员上一季度日均持仓量/全市场上一季度日均持仓量）。</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结算会员应当分担的结算担保金数额与其基础结算担保金数额取大者，作为结算会员本季度应当缴纳的结算担保金金额。交易所在本季度的第5个交易日第一节结束后，通过银行将结算担保金余额的超出部分划至结算会员结算担保金专用账户，将需要补缴的结算担保金从结算会员结算担保金专用账户中扣划。</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结算会员需要补缴结算担保金的，应当在本季度的第5个交易日第一节结束前将补缴金额存入其结算担保金专用账户。</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（三）</w:t>
                  </w:r>
                  <w:r w:rsidRPr="00993A90">
                    <w:rPr>
                      <w:rFonts w:ascii="宋体" w:eastAsia="宋体" w:hAnsi="宋体" w:cs="宋体"/>
                      <w:kern w:val="0"/>
                      <w:szCs w:val="21"/>
                    </w:rPr>
                    <w:t>交易所可以根据市场风险情况调整结算担保金的收取时间以及结算担保金基数，并有权提高个别结算会员应当缴纳的结算担保金金额。</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第三十四条</w:t>
                  </w:r>
                  <w:r w:rsidRPr="00993A90">
                    <w:rPr>
                      <w:rFonts w:ascii="宋体" w:eastAsia="宋体" w:hAnsi="宋体" w:cs="宋体"/>
                      <w:kern w:val="0"/>
                      <w:szCs w:val="21"/>
                    </w:rPr>
                    <w:t xml:space="preserve">　结算会员结算准备金小于零，且未能在规定时限内补足的，交易所采取强行平仓等措施后，结算会员无持仓且结算准备金仍小于零的，交易所有权使用该违约结算会员的结算担保金补足，不足部分再按照比例使用其他结算会员缴纳的结算担保金。</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其他结算会员分摊比例为其结算担保金余额</w:t>
                  </w:r>
                  <w:proofErr w:type="gramStart"/>
                  <w:r w:rsidRPr="00993A90">
                    <w:rPr>
                      <w:rFonts w:ascii="宋体" w:eastAsia="宋体" w:hAnsi="宋体" w:cs="宋体"/>
                      <w:kern w:val="0"/>
                      <w:szCs w:val="21"/>
                    </w:rPr>
                    <w:t>占当前未</w:t>
                  </w:r>
                  <w:proofErr w:type="gramEnd"/>
                  <w:r w:rsidRPr="00993A90">
                    <w:rPr>
                      <w:rFonts w:ascii="宋体" w:eastAsia="宋体" w:hAnsi="宋体" w:cs="宋体"/>
                      <w:kern w:val="0"/>
                      <w:szCs w:val="21"/>
                    </w:rPr>
                    <w:t>使用结算担保金总额之比。</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第三十五条</w:t>
                  </w:r>
                  <w:r w:rsidRPr="00993A90">
                    <w:rPr>
                      <w:rFonts w:ascii="宋体" w:eastAsia="宋体" w:hAnsi="宋体" w:cs="宋体"/>
                      <w:kern w:val="0"/>
                      <w:szCs w:val="21"/>
                    </w:rPr>
                    <w:t xml:space="preserve">　结算会员缴纳的结算担保金，依本办法第三十四条使用后，应当于使用日之后的第5个交易日第一节结束前按照原缴纳标准，将需要补缴的部分存至其结算担保金专用账户。交易所于第5个交易日第一节结束后通过银行从结算会员结算担保金专用账户中扣划。</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第三十六条</w:t>
                  </w:r>
                  <w:r w:rsidRPr="00993A90">
                    <w:rPr>
                      <w:rFonts w:ascii="宋体" w:eastAsia="宋体" w:hAnsi="宋体" w:cs="宋体"/>
                      <w:kern w:val="0"/>
                      <w:szCs w:val="21"/>
                    </w:rPr>
                    <w:t xml:space="preserve">　结算会员未能按期缴纳结算担保金的，按照《中国金融期货交易所违规违约处理办法》有关规定处理。</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第三十七条</w:t>
                  </w:r>
                  <w:r w:rsidRPr="00993A90">
                    <w:rPr>
                      <w:rFonts w:ascii="宋体" w:eastAsia="宋体" w:hAnsi="宋体" w:cs="宋体"/>
                      <w:kern w:val="0"/>
                      <w:szCs w:val="21"/>
                    </w:rPr>
                    <w:t xml:space="preserve">　动用结算担保金后，交易所由此取得对违约会员的相应追偿权。</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b/>
                      <w:bCs/>
                      <w:kern w:val="0"/>
                      <w:szCs w:val="21"/>
                    </w:rPr>
                    <w:t>第九章 风险警示制度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lastRenderedPageBreak/>
                    <w:t xml:space="preserve">　　第三十八条</w:t>
                  </w:r>
                  <w:r w:rsidRPr="00993A90">
                    <w:rPr>
                      <w:rFonts w:ascii="宋体" w:eastAsia="宋体" w:hAnsi="宋体" w:cs="宋体"/>
                      <w:kern w:val="0"/>
                      <w:szCs w:val="21"/>
                    </w:rPr>
                    <w:t xml:space="preserve">　交易所实行风险警示制度。交易所认为必要的，可以单独或者同时采取要求会员和客户报告情况、谈话提醒、书面警示、发布风险警示公告等措施中的一种或者多种，以警示和化解风险。</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第三十九条</w:t>
                  </w:r>
                  <w:r w:rsidRPr="00993A90">
                    <w:rPr>
                      <w:rFonts w:ascii="宋体" w:eastAsia="宋体" w:hAnsi="宋体" w:cs="宋体"/>
                      <w:kern w:val="0"/>
                      <w:szCs w:val="21"/>
                    </w:rPr>
                    <w:t xml:space="preserve">　出现下列情形之一的，交易所有权约见会员的高级管理人员或者客户谈话提醒风险，或者要求会员或者客户报告情况：</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期货价格出现异常；</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（二）</w:t>
                  </w:r>
                  <w:r w:rsidRPr="00993A90">
                    <w:rPr>
                      <w:rFonts w:ascii="宋体" w:eastAsia="宋体" w:hAnsi="宋体" w:cs="宋体"/>
                      <w:kern w:val="0"/>
                      <w:szCs w:val="21"/>
                    </w:rPr>
                    <w:t>会员或者客户交易异常；</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（三）</w:t>
                  </w:r>
                  <w:r w:rsidRPr="00993A90">
                    <w:rPr>
                      <w:rFonts w:ascii="宋体" w:eastAsia="宋体" w:hAnsi="宋体" w:cs="宋体"/>
                      <w:kern w:val="0"/>
                      <w:szCs w:val="21"/>
                    </w:rPr>
                    <w:t>会员或者客户持仓异常；</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（四）</w:t>
                  </w:r>
                  <w:r w:rsidRPr="00993A90">
                    <w:rPr>
                      <w:rFonts w:ascii="宋体" w:eastAsia="宋体" w:hAnsi="宋体" w:cs="宋体"/>
                      <w:kern w:val="0"/>
                      <w:szCs w:val="21"/>
                    </w:rPr>
                    <w:t>会员资金异常；</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（五）</w:t>
                  </w:r>
                  <w:r w:rsidRPr="00993A90">
                    <w:rPr>
                      <w:rFonts w:ascii="宋体" w:eastAsia="宋体" w:hAnsi="宋体" w:cs="宋体"/>
                      <w:kern w:val="0"/>
                      <w:szCs w:val="21"/>
                    </w:rPr>
                    <w:t>会员或者客户涉嫌违规、违约；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（六）</w:t>
                  </w:r>
                  <w:r w:rsidRPr="00993A90">
                    <w:rPr>
                      <w:rFonts w:ascii="宋体" w:eastAsia="宋体" w:hAnsi="宋体" w:cs="宋体"/>
                      <w:kern w:val="0"/>
                      <w:szCs w:val="21"/>
                    </w:rPr>
                    <w:t>交易所接到涉及会员或者客户的投诉；</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（七）</w:t>
                  </w:r>
                  <w:r w:rsidRPr="00993A90">
                    <w:rPr>
                      <w:rFonts w:ascii="宋体" w:eastAsia="宋体" w:hAnsi="宋体" w:cs="宋体"/>
                      <w:kern w:val="0"/>
                      <w:szCs w:val="21"/>
                    </w:rPr>
                    <w:t>会员涉及司法调查；</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（八）</w:t>
                  </w:r>
                  <w:r w:rsidRPr="00993A90">
                    <w:rPr>
                      <w:rFonts w:ascii="宋体" w:eastAsia="宋体" w:hAnsi="宋体" w:cs="宋体"/>
                      <w:kern w:val="0"/>
                      <w:szCs w:val="21"/>
                    </w:rPr>
                    <w:t>交易所认定的其他情况。</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第四十条</w:t>
                  </w:r>
                  <w:r w:rsidRPr="00993A90">
                    <w:rPr>
                      <w:rFonts w:ascii="宋体" w:eastAsia="宋体" w:hAnsi="宋体" w:cs="宋体"/>
                      <w:kern w:val="0"/>
                      <w:szCs w:val="21"/>
                    </w:rPr>
                    <w:t xml:space="preserve">　交易所实施谈话提醒，应当提前一天以书面形式将谈话时间、地点、要求等事项通知相关会员或者客户，交易所工作人员应当对谈话的有关内容予以保密。</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客户应当亲自参加谈话提醒，并由会员指定人员陪同；谈话对象确因特殊情况不能参加的，应当事先报告交易所，经交易所同意后可以书面委托有关人员代理。谈话对象应当如实陈述、不得隐瞒事实。</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第四十一条</w:t>
                  </w:r>
                  <w:r w:rsidRPr="00993A90">
                    <w:rPr>
                      <w:rFonts w:ascii="宋体" w:eastAsia="宋体" w:hAnsi="宋体" w:cs="宋体"/>
                      <w:kern w:val="0"/>
                      <w:szCs w:val="21"/>
                    </w:rPr>
                    <w:t xml:space="preserve">　交易所通过情况报告和谈话，发现会员或者客户有违规嫌疑、交易头寸有较大风险的，有权对会员或者客户发出《风险警示函》。</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第四十二条　发生下列情形之一的，交易所有权发出风险警示公告，向全体会员和客户警示风险：</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（一）</w:t>
                  </w:r>
                  <w:r w:rsidRPr="00993A90">
                    <w:rPr>
                      <w:rFonts w:ascii="宋体" w:eastAsia="宋体" w:hAnsi="宋体" w:cs="宋体"/>
                      <w:kern w:val="0"/>
                      <w:szCs w:val="21"/>
                    </w:rPr>
                    <w:t>期货价格出现异常；</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lastRenderedPageBreak/>
                    <w:t xml:space="preserve">　　（二）</w:t>
                  </w:r>
                  <w:r w:rsidRPr="00993A90">
                    <w:rPr>
                      <w:rFonts w:ascii="宋体" w:eastAsia="宋体" w:hAnsi="宋体" w:cs="宋体"/>
                      <w:kern w:val="0"/>
                      <w:szCs w:val="21"/>
                    </w:rPr>
                    <w:t>期货价格和现货价格出现较大差距；</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（三）</w:t>
                  </w:r>
                  <w:r w:rsidRPr="00993A90">
                    <w:rPr>
                      <w:rFonts w:ascii="宋体" w:eastAsia="宋体" w:hAnsi="宋体" w:cs="宋体"/>
                      <w:kern w:val="0"/>
                      <w:szCs w:val="21"/>
                    </w:rPr>
                    <w:t>会员或者客户涉嫌违规、违约；</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（四）</w:t>
                  </w:r>
                  <w:r w:rsidRPr="00993A90">
                    <w:rPr>
                      <w:rFonts w:ascii="宋体" w:eastAsia="宋体" w:hAnsi="宋体" w:cs="宋体"/>
                      <w:kern w:val="0"/>
                      <w:szCs w:val="21"/>
                    </w:rPr>
                    <w:t>会员或者客户交易存在较大风险；</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（五）</w:t>
                  </w:r>
                  <w:r w:rsidRPr="00993A90">
                    <w:rPr>
                      <w:rFonts w:ascii="宋体" w:eastAsia="宋体" w:hAnsi="宋体" w:cs="宋体"/>
                      <w:kern w:val="0"/>
                      <w:szCs w:val="21"/>
                    </w:rPr>
                    <w:t>交易所认定的其他情形。</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b/>
                      <w:bCs/>
                      <w:kern w:val="0"/>
                      <w:szCs w:val="21"/>
                    </w:rPr>
                    <w:t>第十章 附 则</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第四十三条</w:t>
                  </w:r>
                  <w:r w:rsidRPr="00993A90">
                    <w:rPr>
                      <w:rFonts w:ascii="宋体" w:eastAsia="宋体" w:hAnsi="宋体" w:cs="宋体"/>
                      <w:kern w:val="0"/>
                      <w:szCs w:val="21"/>
                    </w:rPr>
                    <w:t xml:space="preserve">　本办法中持仓是指每一客户号对应的持仓。</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第四十四条</w:t>
                  </w:r>
                  <w:r w:rsidRPr="00993A90">
                    <w:rPr>
                      <w:rFonts w:ascii="宋体" w:eastAsia="宋体" w:hAnsi="宋体" w:cs="宋体"/>
                      <w:kern w:val="0"/>
                      <w:szCs w:val="21"/>
                    </w:rPr>
                    <w:t xml:space="preserve">　违反本办法规定的，交易所按照本办法和《中国金融期货交易所违规违约处理办法》的有关规定处理。 </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第四十五条</w:t>
                  </w:r>
                  <w:r w:rsidRPr="00993A90">
                    <w:rPr>
                      <w:rFonts w:ascii="宋体" w:eastAsia="宋体" w:hAnsi="宋体" w:cs="宋体"/>
                      <w:kern w:val="0"/>
                      <w:szCs w:val="21"/>
                    </w:rPr>
                    <w:t xml:space="preserve">　本办法由交易所负责解释。</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b/>
                      <w:bCs/>
                      <w:kern w:val="0"/>
                      <w:szCs w:val="21"/>
                    </w:rPr>
                    <w:t xml:space="preserve">　　第四十六条</w:t>
                  </w:r>
                  <w:r w:rsidRPr="00993A90">
                    <w:rPr>
                      <w:rFonts w:ascii="宋体" w:eastAsia="宋体" w:hAnsi="宋体" w:cs="宋体"/>
                      <w:kern w:val="0"/>
                      <w:szCs w:val="21"/>
                    </w:rPr>
                    <w:t xml:space="preserve">　本办法自2010年2月20日起实施。</w:t>
                  </w:r>
                </w:p>
                <w:p w:rsidR="00993A90" w:rsidRPr="00993A90" w:rsidRDefault="00993A90" w:rsidP="00993A90">
                  <w:pPr>
                    <w:widowControl/>
                    <w:snapToGrid w:val="0"/>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附件</w:t>
                  </w:r>
                </w:p>
                <w:p w:rsidR="00993A90" w:rsidRPr="00993A90" w:rsidRDefault="00993A90" w:rsidP="00993A90">
                  <w:pPr>
                    <w:widowControl/>
                    <w:spacing w:before="150" w:after="100" w:afterAutospacing="1" w:line="336" w:lineRule="auto"/>
                    <w:jc w:val="center"/>
                    <w:rPr>
                      <w:rFonts w:ascii="宋体" w:eastAsia="宋体" w:hAnsi="宋体" w:cs="宋体"/>
                      <w:kern w:val="0"/>
                      <w:szCs w:val="21"/>
                    </w:rPr>
                  </w:pPr>
                  <w:r w:rsidRPr="00993A90">
                    <w:rPr>
                      <w:rFonts w:ascii="宋体" w:eastAsia="宋体" w:hAnsi="宋体" w:cs="宋体"/>
                      <w:kern w:val="0"/>
                      <w:szCs w:val="21"/>
                    </w:rPr>
                    <w:t>大户持仓报告表</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Cs w:val="21"/>
                    </w:rPr>
                    <w:t xml:space="preserve">　　 </w:t>
                  </w:r>
                </w:p>
                <w:tbl>
                  <w:tblPr>
                    <w:tblW w:w="0" w:type="auto"/>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28"/>
                    <w:gridCol w:w="1112"/>
                    <w:gridCol w:w="1420"/>
                    <w:gridCol w:w="1420"/>
                    <w:gridCol w:w="1421"/>
                    <w:gridCol w:w="1421"/>
                  </w:tblGrid>
                  <w:tr w:rsidR="00993A90" w:rsidRPr="00993A90" w:rsidTr="00993A90">
                    <w:trPr>
                      <w:jc w:val="center"/>
                    </w:trPr>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客户名称</w:t>
                        </w:r>
                      </w:p>
                    </w:tc>
                    <w:tc>
                      <w:tcPr>
                        <w:tcW w:w="6794" w:type="dxa"/>
                        <w:gridSpan w:val="5"/>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客户号</w:t>
                        </w:r>
                      </w:p>
                    </w:tc>
                    <w:tc>
                      <w:tcPr>
                        <w:tcW w:w="253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4262" w:type="dxa"/>
                        <w:gridSpan w:val="3"/>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 xml:space="preserve">　　　　　　　　　□投机 </w:t>
                        </w:r>
                        <w:r w:rsidRPr="00993A90">
                          <w:rPr>
                            <w:rFonts w:ascii="宋体" w:eastAsia="宋体" w:hAnsi="宋体" w:cs="宋体"/>
                            <w:kern w:val="0"/>
                            <w:szCs w:val="21"/>
                          </w:rPr>
                          <w:t xml:space="preserve">　　 □</w:t>
                        </w:r>
                        <w:r w:rsidRPr="00993A90">
                          <w:rPr>
                            <w:rFonts w:ascii="宋体" w:eastAsia="宋体" w:hAnsi="宋体" w:cs="宋体"/>
                            <w:kern w:val="0"/>
                            <w:sz w:val="18"/>
                            <w:szCs w:val="18"/>
                          </w:rPr>
                          <w:t>套利</w:t>
                        </w:r>
                        <w:r w:rsidRPr="00993A90">
                          <w:rPr>
                            <w:rFonts w:ascii="宋体" w:eastAsia="宋体" w:hAnsi="宋体" w:cs="宋体"/>
                            <w:kern w:val="0"/>
                            <w:szCs w:val="21"/>
                          </w:rPr>
                          <w:t xml:space="preserve">　　 □</w:t>
                        </w:r>
                        <w:r w:rsidRPr="00993A90">
                          <w:rPr>
                            <w:rFonts w:ascii="宋体" w:eastAsia="宋体" w:hAnsi="宋体" w:cs="宋体"/>
                            <w:kern w:val="0"/>
                            <w:sz w:val="18"/>
                            <w:szCs w:val="18"/>
                          </w:rPr>
                          <w:t>套保</w:t>
                        </w: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联系地址</w:t>
                        </w:r>
                      </w:p>
                    </w:tc>
                    <w:tc>
                      <w:tcPr>
                        <w:tcW w:w="253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2841"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联系电话</w:t>
                        </w: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资金调拨人名称</w:t>
                        </w:r>
                      </w:p>
                    </w:tc>
                    <w:tc>
                      <w:tcPr>
                        <w:tcW w:w="1112"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2841"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资金调拨人联系电话</w:t>
                        </w: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指令下达人名称</w:t>
                        </w:r>
                      </w:p>
                    </w:tc>
                    <w:tc>
                      <w:tcPr>
                        <w:tcW w:w="1112"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2841"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指令下达人联系电话</w:t>
                        </w: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合约代码</w:t>
                        </w:r>
                      </w:p>
                    </w:tc>
                    <w:tc>
                      <w:tcPr>
                        <w:tcW w:w="1112"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买持仓量</w:t>
                        </w: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卖持仓量</w:t>
                        </w: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合约代码</w:t>
                        </w:r>
                      </w:p>
                    </w:tc>
                    <w:tc>
                      <w:tcPr>
                        <w:tcW w:w="1112"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买持仓量</w:t>
                        </w: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卖持仓量</w:t>
                        </w: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lastRenderedPageBreak/>
                          <w:t>合约代码</w:t>
                        </w:r>
                      </w:p>
                    </w:tc>
                    <w:tc>
                      <w:tcPr>
                        <w:tcW w:w="1112"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买持仓量</w:t>
                        </w: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卖持仓量</w:t>
                        </w: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合约代码</w:t>
                        </w:r>
                      </w:p>
                    </w:tc>
                    <w:tc>
                      <w:tcPr>
                        <w:tcW w:w="1112"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买持仓量</w:t>
                        </w: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卖持仓量</w:t>
                        </w: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总持仓保证金</w:t>
                        </w:r>
                      </w:p>
                    </w:tc>
                    <w:tc>
                      <w:tcPr>
                        <w:tcW w:w="1112"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资金规模</w:t>
                        </w: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实际控制人</w:t>
                        </w:r>
                      </w:p>
                    </w:tc>
                    <w:tc>
                      <w:tcPr>
                        <w:tcW w:w="1421"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资金来源</w:t>
                        </w:r>
                      </w:p>
                    </w:tc>
                    <w:tc>
                      <w:tcPr>
                        <w:tcW w:w="6794" w:type="dxa"/>
                        <w:gridSpan w:val="5"/>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852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napToGrid w:val="0"/>
                          <w:spacing w:before="150" w:after="100" w:afterAutospacing="1" w:line="336" w:lineRule="auto"/>
                          <w:ind w:firstLine="360"/>
                          <w:jc w:val="left"/>
                          <w:rPr>
                            <w:rFonts w:ascii="宋体" w:eastAsia="宋体" w:hAnsi="宋体" w:cs="宋体"/>
                            <w:kern w:val="0"/>
                            <w:szCs w:val="21"/>
                          </w:rPr>
                        </w:pPr>
                        <w:r w:rsidRPr="00993A90">
                          <w:rPr>
                            <w:rFonts w:ascii="宋体" w:eastAsia="宋体" w:hAnsi="宋体" w:cs="宋体"/>
                            <w:kern w:val="0"/>
                            <w:sz w:val="18"/>
                            <w:szCs w:val="18"/>
                          </w:rPr>
                          <w:t>本人（公司）保证以上报告内容的真实性和准确性，不存在任何故意虚假或者遗漏。</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报告人签名：</w:t>
                        </w:r>
                        <w:r w:rsidRPr="00993A90">
                          <w:rPr>
                            <w:rFonts w:ascii="宋体" w:eastAsia="宋体" w:hAnsi="宋体" w:cs="宋体"/>
                            <w:kern w:val="0"/>
                            <w:szCs w:val="21"/>
                          </w:rPr>
                          <w:t xml:space="preserve">　　　　　　　　　　　　　　　　　 　　　　　</w:t>
                        </w:r>
                        <w:r w:rsidRPr="00993A90">
                          <w:rPr>
                            <w:rFonts w:ascii="宋体" w:eastAsia="宋体" w:hAnsi="宋体" w:cs="宋体"/>
                            <w:kern w:val="0"/>
                            <w:sz w:val="18"/>
                            <w:szCs w:val="18"/>
                          </w:rPr>
                          <w:t>报告日期：</w:t>
                        </w:r>
                        <w:r w:rsidRPr="00993A90">
                          <w:rPr>
                            <w:rFonts w:ascii="宋体" w:eastAsia="宋体" w:hAnsi="宋体" w:cs="宋体"/>
                            <w:kern w:val="0"/>
                            <w:szCs w:val="21"/>
                          </w:rPr>
                          <w:t xml:space="preserve">　　　</w:t>
                        </w:r>
                        <w:r w:rsidRPr="00993A90">
                          <w:rPr>
                            <w:rFonts w:ascii="宋体" w:eastAsia="宋体" w:hAnsi="宋体" w:cs="宋体"/>
                            <w:kern w:val="0"/>
                            <w:sz w:val="18"/>
                            <w:szCs w:val="18"/>
                          </w:rPr>
                          <w:t>年</w:t>
                        </w:r>
                        <w:r w:rsidRPr="00993A90">
                          <w:rPr>
                            <w:rFonts w:ascii="宋体" w:eastAsia="宋体" w:hAnsi="宋体" w:cs="宋体"/>
                            <w:kern w:val="0"/>
                            <w:szCs w:val="21"/>
                          </w:rPr>
                          <w:t xml:space="preserve">　 </w:t>
                        </w:r>
                        <w:r w:rsidRPr="00993A90">
                          <w:rPr>
                            <w:rFonts w:ascii="宋体" w:eastAsia="宋体" w:hAnsi="宋体" w:cs="宋体"/>
                            <w:kern w:val="0"/>
                            <w:sz w:val="18"/>
                            <w:szCs w:val="18"/>
                          </w:rPr>
                          <w:t>月</w:t>
                        </w:r>
                        <w:r w:rsidRPr="00993A90">
                          <w:rPr>
                            <w:rFonts w:ascii="宋体" w:eastAsia="宋体" w:hAnsi="宋体" w:cs="宋体"/>
                            <w:kern w:val="0"/>
                            <w:szCs w:val="21"/>
                          </w:rPr>
                          <w:t xml:space="preserve">　 </w:t>
                        </w:r>
                        <w:r w:rsidRPr="00993A90">
                          <w:rPr>
                            <w:rFonts w:ascii="宋体" w:eastAsia="宋体" w:hAnsi="宋体" w:cs="宋体"/>
                            <w:kern w:val="0"/>
                            <w:sz w:val="18"/>
                            <w:szCs w:val="18"/>
                          </w:rPr>
                          <w:t>日</w:t>
                        </w:r>
                      </w:p>
                    </w:tc>
                  </w:tr>
                  <w:tr w:rsidR="00993A90" w:rsidRPr="00993A90" w:rsidTr="00993A90">
                    <w:trPr>
                      <w:jc w:val="center"/>
                    </w:trPr>
                    <w:tc>
                      <w:tcPr>
                        <w:tcW w:w="852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以下由客户所属会员填写</w:t>
                        </w:r>
                      </w:p>
                    </w:tc>
                  </w:tr>
                  <w:tr w:rsidR="00993A90" w:rsidRPr="00993A90" w:rsidTr="00993A90">
                    <w:trPr>
                      <w:jc w:val="center"/>
                    </w:trPr>
                    <w:tc>
                      <w:tcPr>
                        <w:tcW w:w="852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napToGrid w:val="0"/>
                          <w:spacing w:before="150" w:after="100" w:afterAutospacing="1" w:line="336" w:lineRule="auto"/>
                          <w:ind w:firstLine="360"/>
                          <w:jc w:val="left"/>
                          <w:rPr>
                            <w:rFonts w:ascii="宋体" w:eastAsia="宋体" w:hAnsi="宋体" w:cs="宋体"/>
                            <w:kern w:val="0"/>
                            <w:szCs w:val="21"/>
                          </w:rPr>
                        </w:pPr>
                        <w:r w:rsidRPr="00993A90">
                          <w:rPr>
                            <w:rFonts w:ascii="宋体" w:eastAsia="宋体" w:hAnsi="宋体" w:cs="宋体"/>
                            <w:kern w:val="0"/>
                            <w:sz w:val="18"/>
                            <w:szCs w:val="18"/>
                          </w:rPr>
                          <w:t>本公司保证客户在我处持仓大小的真实性，不存在任何虚假或者遗漏。</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会员单位盖章：</w:t>
                        </w:r>
                        <w:r w:rsidRPr="00993A90">
                          <w:rPr>
                            <w:rFonts w:ascii="宋体" w:eastAsia="宋体" w:hAnsi="宋体" w:cs="宋体"/>
                            <w:kern w:val="0"/>
                            <w:szCs w:val="21"/>
                          </w:rPr>
                          <w:t xml:space="preserve">　　　　　　　　　　　　　　　　　　　　　　　　　　　　　 </w:t>
                        </w:r>
                        <w:r w:rsidRPr="00993A90">
                          <w:rPr>
                            <w:rFonts w:ascii="宋体" w:eastAsia="宋体" w:hAnsi="宋体" w:cs="宋体"/>
                            <w:kern w:val="0"/>
                            <w:sz w:val="18"/>
                            <w:szCs w:val="18"/>
                          </w:rPr>
                          <w:t>年</w:t>
                        </w:r>
                        <w:r w:rsidRPr="00993A90">
                          <w:rPr>
                            <w:rFonts w:ascii="宋体" w:eastAsia="宋体" w:hAnsi="宋体" w:cs="宋体"/>
                            <w:kern w:val="0"/>
                            <w:szCs w:val="21"/>
                          </w:rPr>
                          <w:t xml:space="preserve">　 </w:t>
                        </w:r>
                        <w:r w:rsidRPr="00993A90">
                          <w:rPr>
                            <w:rFonts w:ascii="宋体" w:eastAsia="宋体" w:hAnsi="宋体" w:cs="宋体"/>
                            <w:kern w:val="0"/>
                            <w:sz w:val="18"/>
                            <w:szCs w:val="18"/>
                          </w:rPr>
                          <w:t>月</w:t>
                        </w:r>
                        <w:r w:rsidRPr="00993A90">
                          <w:rPr>
                            <w:rFonts w:ascii="宋体" w:eastAsia="宋体" w:hAnsi="宋体" w:cs="宋体"/>
                            <w:kern w:val="0"/>
                            <w:szCs w:val="21"/>
                          </w:rPr>
                          <w:t xml:space="preserve">　 </w:t>
                        </w:r>
                        <w:r w:rsidRPr="00993A90">
                          <w:rPr>
                            <w:rFonts w:ascii="宋体" w:eastAsia="宋体" w:hAnsi="宋体" w:cs="宋体"/>
                            <w:kern w:val="0"/>
                            <w:sz w:val="18"/>
                            <w:szCs w:val="18"/>
                          </w:rPr>
                          <w:t>日</w:t>
                        </w: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会员名称</w:t>
                        </w:r>
                      </w:p>
                    </w:tc>
                    <w:tc>
                      <w:tcPr>
                        <w:tcW w:w="253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会员号</w:t>
                        </w:r>
                      </w:p>
                    </w:tc>
                    <w:tc>
                      <w:tcPr>
                        <w:tcW w:w="284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客户开户日期</w:t>
                        </w:r>
                      </w:p>
                    </w:tc>
                    <w:tc>
                      <w:tcPr>
                        <w:tcW w:w="253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客户交易方式</w:t>
                        </w:r>
                      </w:p>
                    </w:tc>
                    <w:tc>
                      <w:tcPr>
                        <w:tcW w:w="284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17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IP地址</w:t>
                        </w:r>
                      </w:p>
                    </w:tc>
                    <w:tc>
                      <w:tcPr>
                        <w:tcW w:w="253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c>
                      <w:tcPr>
                        <w:tcW w:w="1420" w:type="dxa"/>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电话委托号码</w:t>
                        </w:r>
                      </w:p>
                    </w:tc>
                    <w:tc>
                      <w:tcPr>
                        <w:tcW w:w="2842"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jc w:val="left"/>
                          <w:rPr>
                            <w:rFonts w:ascii="宋体" w:eastAsia="宋体" w:hAnsi="宋体" w:cs="宋体"/>
                            <w:kern w:val="0"/>
                            <w:sz w:val="18"/>
                            <w:szCs w:val="18"/>
                          </w:rPr>
                        </w:pPr>
                      </w:p>
                    </w:tc>
                  </w:tr>
                  <w:tr w:rsidR="00993A90" w:rsidRPr="00993A90" w:rsidTr="00993A90">
                    <w:trPr>
                      <w:jc w:val="center"/>
                    </w:trPr>
                    <w:tc>
                      <w:tcPr>
                        <w:tcW w:w="852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93A90" w:rsidRPr="00993A90" w:rsidRDefault="00993A90" w:rsidP="00993A90">
                        <w:pPr>
                          <w:widowControl/>
                          <w:snapToGrid w:val="0"/>
                          <w:spacing w:before="150" w:after="100" w:afterAutospacing="1" w:line="336" w:lineRule="auto"/>
                          <w:ind w:firstLine="360"/>
                          <w:jc w:val="left"/>
                          <w:rPr>
                            <w:rFonts w:ascii="宋体" w:eastAsia="宋体" w:hAnsi="宋体" w:cs="宋体"/>
                            <w:kern w:val="0"/>
                            <w:szCs w:val="21"/>
                          </w:rPr>
                        </w:pPr>
                        <w:r w:rsidRPr="00993A90">
                          <w:rPr>
                            <w:rFonts w:ascii="宋体" w:eastAsia="宋体" w:hAnsi="宋体" w:cs="宋体"/>
                            <w:kern w:val="0"/>
                            <w:sz w:val="18"/>
                            <w:szCs w:val="18"/>
                          </w:rPr>
                          <w:t>经审核，本公司保证本报告所有内容的真实性，不存在任何隐瞒或者遗漏。</w:t>
                        </w:r>
                      </w:p>
                      <w:p w:rsidR="00993A90" w:rsidRPr="00993A90" w:rsidRDefault="00993A90" w:rsidP="00993A90">
                        <w:pPr>
                          <w:widowControl/>
                          <w:spacing w:before="150" w:after="100" w:afterAutospacing="1" w:line="336" w:lineRule="auto"/>
                          <w:jc w:val="left"/>
                          <w:rPr>
                            <w:rFonts w:ascii="宋体" w:eastAsia="宋体" w:hAnsi="宋体" w:cs="宋体"/>
                            <w:kern w:val="0"/>
                            <w:szCs w:val="21"/>
                          </w:rPr>
                        </w:pPr>
                        <w:r w:rsidRPr="00993A90">
                          <w:rPr>
                            <w:rFonts w:ascii="宋体" w:eastAsia="宋体" w:hAnsi="宋体" w:cs="宋体"/>
                            <w:kern w:val="0"/>
                            <w:sz w:val="18"/>
                            <w:szCs w:val="18"/>
                          </w:rPr>
                          <w:t>会员单位盖章：</w:t>
                        </w:r>
                        <w:r w:rsidRPr="00993A90">
                          <w:rPr>
                            <w:rFonts w:ascii="宋体" w:eastAsia="宋体" w:hAnsi="宋体" w:cs="宋体"/>
                            <w:kern w:val="0"/>
                            <w:szCs w:val="21"/>
                          </w:rPr>
                          <w:t xml:space="preserve">　　　　　　　　　　　　　　　　　　　　　　　</w:t>
                        </w:r>
                        <w:r w:rsidRPr="00993A90">
                          <w:rPr>
                            <w:rFonts w:ascii="宋体" w:eastAsia="宋体" w:hAnsi="宋体" w:cs="宋体"/>
                            <w:kern w:val="0"/>
                            <w:sz w:val="18"/>
                            <w:szCs w:val="18"/>
                          </w:rPr>
                          <w:t>报告日期：</w:t>
                        </w:r>
                        <w:r w:rsidRPr="00993A90">
                          <w:rPr>
                            <w:rFonts w:ascii="宋体" w:eastAsia="宋体" w:hAnsi="宋体" w:cs="宋体"/>
                            <w:kern w:val="0"/>
                            <w:szCs w:val="21"/>
                          </w:rPr>
                          <w:t xml:space="preserve">　　　</w:t>
                        </w:r>
                        <w:r w:rsidRPr="00993A90">
                          <w:rPr>
                            <w:rFonts w:ascii="宋体" w:eastAsia="宋体" w:hAnsi="宋体" w:cs="宋体"/>
                            <w:kern w:val="0"/>
                            <w:sz w:val="18"/>
                            <w:szCs w:val="18"/>
                          </w:rPr>
                          <w:t>年</w:t>
                        </w:r>
                        <w:r w:rsidRPr="00993A90">
                          <w:rPr>
                            <w:rFonts w:ascii="宋体" w:eastAsia="宋体" w:hAnsi="宋体" w:cs="宋体"/>
                            <w:kern w:val="0"/>
                            <w:szCs w:val="21"/>
                          </w:rPr>
                          <w:t xml:space="preserve">　 </w:t>
                        </w:r>
                        <w:r w:rsidRPr="00993A90">
                          <w:rPr>
                            <w:rFonts w:ascii="宋体" w:eastAsia="宋体" w:hAnsi="宋体" w:cs="宋体"/>
                            <w:kern w:val="0"/>
                            <w:sz w:val="18"/>
                            <w:szCs w:val="18"/>
                          </w:rPr>
                          <w:t>月</w:t>
                        </w:r>
                        <w:r w:rsidRPr="00993A90">
                          <w:rPr>
                            <w:rFonts w:ascii="宋体" w:eastAsia="宋体" w:hAnsi="宋体" w:cs="宋体"/>
                            <w:kern w:val="0"/>
                            <w:szCs w:val="21"/>
                          </w:rPr>
                          <w:t xml:space="preserve">　 </w:t>
                        </w:r>
                        <w:r w:rsidRPr="00993A90">
                          <w:rPr>
                            <w:rFonts w:ascii="宋体" w:eastAsia="宋体" w:hAnsi="宋体" w:cs="宋体"/>
                            <w:kern w:val="0"/>
                            <w:sz w:val="18"/>
                            <w:szCs w:val="18"/>
                          </w:rPr>
                          <w:t>日</w:t>
                        </w:r>
                      </w:p>
                    </w:tc>
                  </w:tr>
                </w:tbl>
                <w:p w:rsidR="00993A90" w:rsidRPr="00993A90" w:rsidRDefault="00993A90" w:rsidP="00993A90">
                  <w:pPr>
                    <w:widowControl/>
                    <w:spacing w:before="150" w:after="100" w:afterAutospacing="1" w:line="336" w:lineRule="auto"/>
                    <w:jc w:val="left"/>
                    <w:rPr>
                      <w:rFonts w:ascii="宋体" w:eastAsia="宋体" w:hAnsi="宋体" w:cs="宋体"/>
                      <w:kern w:val="0"/>
                      <w:szCs w:val="21"/>
                    </w:rPr>
                  </w:pPr>
                </w:p>
              </w:tc>
            </w:tr>
          </w:tbl>
          <w:p w:rsidR="00993A90" w:rsidRPr="00993A90" w:rsidRDefault="00993A90" w:rsidP="00993A90">
            <w:pPr>
              <w:widowControl/>
              <w:jc w:val="left"/>
              <w:rPr>
                <w:rFonts w:ascii="宋体" w:eastAsia="宋体" w:hAnsi="宋体" w:cs="宋体"/>
                <w:kern w:val="0"/>
                <w:sz w:val="18"/>
                <w:szCs w:val="18"/>
              </w:rPr>
            </w:pPr>
          </w:p>
        </w:tc>
      </w:tr>
      <w:tr w:rsidR="00993A90" w:rsidRPr="00993A90">
        <w:trPr>
          <w:tblCellSpacing w:w="0" w:type="dxa"/>
          <w:jc w:val="center"/>
        </w:trPr>
        <w:tc>
          <w:tcPr>
            <w:tcW w:w="0" w:type="auto"/>
            <w:vAlign w:val="center"/>
            <w:hideMark/>
          </w:tcPr>
          <w:p w:rsidR="00993A90" w:rsidRPr="00993A90" w:rsidRDefault="00993A90" w:rsidP="00993A90">
            <w:pPr>
              <w:widowControl/>
              <w:jc w:val="left"/>
              <w:rPr>
                <w:rFonts w:ascii="宋体" w:eastAsia="宋体" w:hAnsi="宋体" w:cs="宋体"/>
                <w:kern w:val="0"/>
                <w:sz w:val="18"/>
                <w:szCs w:val="18"/>
              </w:rPr>
            </w:pPr>
          </w:p>
        </w:tc>
      </w:tr>
    </w:tbl>
    <w:p w:rsidR="00C32906" w:rsidRPr="00993A90" w:rsidRDefault="00C32906" w:rsidP="00993A90">
      <w:bookmarkStart w:id="0" w:name="_GoBack"/>
      <w:bookmarkEnd w:id="0"/>
    </w:p>
    <w:sectPr w:rsidR="00C32906" w:rsidRPr="00993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77"/>
    <w:rsid w:val="0026513A"/>
    <w:rsid w:val="0038171C"/>
    <w:rsid w:val="00444DD1"/>
    <w:rsid w:val="00993A90"/>
    <w:rsid w:val="009B1977"/>
    <w:rsid w:val="00C32906"/>
    <w:rsid w:val="00DF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642574">
      <w:bodyDiv w:val="1"/>
      <w:marLeft w:val="0"/>
      <w:marRight w:val="0"/>
      <w:marTop w:val="0"/>
      <w:marBottom w:val="0"/>
      <w:divBdr>
        <w:top w:val="none" w:sz="0" w:space="0" w:color="auto"/>
        <w:left w:val="none" w:sz="0" w:space="0" w:color="auto"/>
        <w:bottom w:val="none" w:sz="0" w:space="0" w:color="auto"/>
        <w:right w:val="none" w:sz="0" w:space="0" w:color="auto"/>
      </w:divBdr>
      <w:divsChild>
        <w:div w:id="1418669337">
          <w:marLeft w:val="0"/>
          <w:marRight w:val="0"/>
          <w:marTop w:val="0"/>
          <w:marBottom w:val="0"/>
          <w:divBdr>
            <w:top w:val="none" w:sz="0" w:space="0" w:color="auto"/>
            <w:left w:val="none" w:sz="0" w:space="0" w:color="auto"/>
            <w:bottom w:val="none" w:sz="0" w:space="0" w:color="auto"/>
            <w:right w:val="none" w:sz="0" w:space="0" w:color="auto"/>
          </w:divBdr>
          <w:divsChild>
            <w:div w:id="76291813">
              <w:marLeft w:val="0"/>
              <w:marRight w:val="0"/>
              <w:marTop w:val="0"/>
              <w:marBottom w:val="0"/>
              <w:divBdr>
                <w:top w:val="single" w:sz="2" w:space="0" w:color="00FFFF"/>
                <w:left w:val="single" w:sz="2" w:space="0" w:color="00FFFF"/>
                <w:bottom w:val="single" w:sz="2" w:space="0" w:color="00FFFF"/>
                <w:right w:val="single" w:sz="2" w:space="0" w:color="00FFFF"/>
              </w:divBdr>
              <w:divsChild>
                <w:div w:id="1256598253">
                  <w:marLeft w:val="0"/>
                  <w:marRight w:val="0"/>
                  <w:marTop w:val="0"/>
                  <w:marBottom w:val="0"/>
                  <w:divBdr>
                    <w:top w:val="none" w:sz="0" w:space="0" w:color="auto"/>
                    <w:left w:val="none" w:sz="0" w:space="0" w:color="auto"/>
                    <w:bottom w:val="none" w:sz="0" w:space="0" w:color="auto"/>
                    <w:right w:val="none" w:sz="0" w:space="0" w:color="auto"/>
                  </w:divBdr>
                  <w:divsChild>
                    <w:div w:id="11145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68954">
      <w:bodyDiv w:val="1"/>
      <w:marLeft w:val="0"/>
      <w:marRight w:val="0"/>
      <w:marTop w:val="0"/>
      <w:marBottom w:val="0"/>
      <w:divBdr>
        <w:top w:val="none" w:sz="0" w:space="0" w:color="auto"/>
        <w:left w:val="none" w:sz="0" w:space="0" w:color="auto"/>
        <w:bottom w:val="none" w:sz="0" w:space="0" w:color="auto"/>
        <w:right w:val="none" w:sz="0" w:space="0" w:color="auto"/>
      </w:divBdr>
      <w:divsChild>
        <w:div w:id="82840425">
          <w:marLeft w:val="0"/>
          <w:marRight w:val="0"/>
          <w:marTop w:val="0"/>
          <w:marBottom w:val="0"/>
          <w:divBdr>
            <w:top w:val="none" w:sz="0" w:space="0" w:color="auto"/>
            <w:left w:val="none" w:sz="0" w:space="0" w:color="auto"/>
            <w:bottom w:val="none" w:sz="0" w:space="0" w:color="auto"/>
            <w:right w:val="none" w:sz="0" w:space="0" w:color="auto"/>
          </w:divBdr>
          <w:divsChild>
            <w:div w:id="1535852145">
              <w:marLeft w:val="0"/>
              <w:marRight w:val="0"/>
              <w:marTop w:val="0"/>
              <w:marBottom w:val="0"/>
              <w:divBdr>
                <w:top w:val="single" w:sz="2" w:space="0" w:color="00FFFF"/>
                <w:left w:val="single" w:sz="2" w:space="0" w:color="00FFFF"/>
                <w:bottom w:val="single" w:sz="2" w:space="0" w:color="00FFFF"/>
                <w:right w:val="single" w:sz="2" w:space="0" w:color="00FFFF"/>
              </w:divBdr>
              <w:divsChild>
                <w:div w:id="1208450455">
                  <w:marLeft w:val="0"/>
                  <w:marRight w:val="0"/>
                  <w:marTop w:val="0"/>
                  <w:marBottom w:val="0"/>
                  <w:divBdr>
                    <w:top w:val="none" w:sz="0" w:space="0" w:color="auto"/>
                    <w:left w:val="none" w:sz="0" w:space="0" w:color="auto"/>
                    <w:bottom w:val="none" w:sz="0" w:space="0" w:color="auto"/>
                    <w:right w:val="none" w:sz="0" w:space="0" w:color="auto"/>
                  </w:divBdr>
                  <w:divsChild>
                    <w:div w:id="7811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1078">
      <w:bodyDiv w:val="1"/>
      <w:marLeft w:val="0"/>
      <w:marRight w:val="0"/>
      <w:marTop w:val="0"/>
      <w:marBottom w:val="0"/>
      <w:divBdr>
        <w:top w:val="none" w:sz="0" w:space="0" w:color="auto"/>
        <w:left w:val="none" w:sz="0" w:space="0" w:color="auto"/>
        <w:bottom w:val="none" w:sz="0" w:space="0" w:color="auto"/>
        <w:right w:val="none" w:sz="0" w:space="0" w:color="auto"/>
      </w:divBdr>
      <w:divsChild>
        <w:div w:id="1728871762">
          <w:marLeft w:val="0"/>
          <w:marRight w:val="0"/>
          <w:marTop w:val="0"/>
          <w:marBottom w:val="0"/>
          <w:divBdr>
            <w:top w:val="none" w:sz="0" w:space="0" w:color="auto"/>
            <w:left w:val="none" w:sz="0" w:space="0" w:color="auto"/>
            <w:bottom w:val="none" w:sz="0" w:space="0" w:color="auto"/>
            <w:right w:val="none" w:sz="0" w:space="0" w:color="auto"/>
          </w:divBdr>
          <w:divsChild>
            <w:div w:id="1576209862">
              <w:marLeft w:val="0"/>
              <w:marRight w:val="0"/>
              <w:marTop w:val="0"/>
              <w:marBottom w:val="0"/>
              <w:divBdr>
                <w:top w:val="single" w:sz="2" w:space="0" w:color="00FFFF"/>
                <w:left w:val="single" w:sz="2" w:space="0" w:color="00FFFF"/>
                <w:bottom w:val="single" w:sz="2" w:space="0" w:color="00FFFF"/>
                <w:right w:val="single" w:sz="2" w:space="0" w:color="00FFFF"/>
              </w:divBdr>
              <w:divsChild>
                <w:div w:id="525992450">
                  <w:marLeft w:val="0"/>
                  <w:marRight w:val="0"/>
                  <w:marTop w:val="0"/>
                  <w:marBottom w:val="0"/>
                  <w:divBdr>
                    <w:top w:val="none" w:sz="0" w:space="0" w:color="auto"/>
                    <w:left w:val="none" w:sz="0" w:space="0" w:color="auto"/>
                    <w:bottom w:val="none" w:sz="0" w:space="0" w:color="auto"/>
                    <w:right w:val="none" w:sz="0" w:space="0" w:color="auto"/>
                  </w:divBdr>
                  <w:divsChild>
                    <w:div w:id="782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7813">
      <w:bodyDiv w:val="1"/>
      <w:marLeft w:val="0"/>
      <w:marRight w:val="0"/>
      <w:marTop w:val="0"/>
      <w:marBottom w:val="0"/>
      <w:divBdr>
        <w:top w:val="none" w:sz="0" w:space="0" w:color="auto"/>
        <w:left w:val="none" w:sz="0" w:space="0" w:color="auto"/>
        <w:bottom w:val="none" w:sz="0" w:space="0" w:color="auto"/>
        <w:right w:val="none" w:sz="0" w:space="0" w:color="auto"/>
      </w:divBdr>
      <w:divsChild>
        <w:div w:id="1536186864">
          <w:marLeft w:val="0"/>
          <w:marRight w:val="0"/>
          <w:marTop w:val="0"/>
          <w:marBottom w:val="0"/>
          <w:divBdr>
            <w:top w:val="none" w:sz="0" w:space="0" w:color="auto"/>
            <w:left w:val="none" w:sz="0" w:space="0" w:color="auto"/>
            <w:bottom w:val="none" w:sz="0" w:space="0" w:color="auto"/>
            <w:right w:val="none" w:sz="0" w:space="0" w:color="auto"/>
          </w:divBdr>
          <w:divsChild>
            <w:div w:id="812450608">
              <w:marLeft w:val="0"/>
              <w:marRight w:val="0"/>
              <w:marTop w:val="0"/>
              <w:marBottom w:val="0"/>
              <w:divBdr>
                <w:top w:val="single" w:sz="2" w:space="0" w:color="00FFFF"/>
                <w:left w:val="single" w:sz="2" w:space="0" w:color="00FFFF"/>
                <w:bottom w:val="single" w:sz="2" w:space="0" w:color="00FFFF"/>
                <w:right w:val="single" w:sz="2" w:space="0" w:color="00FFFF"/>
              </w:divBdr>
              <w:divsChild>
                <w:div w:id="409431910">
                  <w:marLeft w:val="0"/>
                  <w:marRight w:val="0"/>
                  <w:marTop w:val="0"/>
                  <w:marBottom w:val="0"/>
                  <w:divBdr>
                    <w:top w:val="none" w:sz="0" w:space="0" w:color="auto"/>
                    <w:left w:val="none" w:sz="0" w:space="0" w:color="auto"/>
                    <w:bottom w:val="none" w:sz="0" w:space="0" w:color="auto"/>
                    <w:right w:val="none" w:sz="0" w:space="0" w:color="auto"/>
                  </w:divBdr>
                  <w:divsChild>
                    <w:div w:id="3254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6</cp:revision>
  <dcterms:created xsi:type="dcterms:W3CDTF">2012-05-11T09:25:00Z</dcterms:created>
  <dcterms:modified xsi:type="dcterms:W3CDTF">2012-05-11T09:35:00Z</dcterms:modified>
</cp:coreProperties>
</file>