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r w:rsidR="005B4635">
        <w:rPr>
          <w:sz w:val="18"/>
          <w:szCs w:val="18"/>
          <w:lang w:val="en-GB"/>
        </w:rPr>
        <w:t xml:space="preserve">Uppsatsstruktur: </w:t>
      </w:r>
      <w:r w:rsidRPr="00FF3520">
        <w:rPr>
          <w:sz w:val="18"/>
          <w:szCs w:val="18"/>
          <w:lang w:val="en-GB"/>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w:t>
      </w:r>
      <w:proofErr w:type="gramStart"/>
      <w:r w:rsidRPr="00FF3520">
        <w:rPr>
          <w:sz w:val="18"/>
          <w:szCs w:val="18"/>
          <w:lang w:val="en-GB"/>
        </w:rPr>
        <w:t>De nuvarande riktlinjerna har ingen koppling till en vetenskapligt utvecklad pedagogisk modell.</w:t>
      </w:r>
      <w:proofErr w:type="gramEnd"/>
      <w:r w:rsidRPr="00FF3520">
        <w:rPr>
          <w:sz w:val="18"/>
          <w:szCs w:val="18"/>
          <w:lang w:val="en-GB"/>
        </w:rPr>
        <w:t xml:space="preserve">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e-kurser.”</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w:t>
      </w:r>
      <w:proofErr w:type="gramStart"/>
      <w:r w:rsidRPr="00FF3520">
        <w:rPr>
          <w:sz w:val="18"/>
          <w:szCs w:val="18"/>
          <w:lang w:val="en-GB"/>
        </w:rPr>
        <w:t>För att besvara denna fråga jämfördes Grades nuvarande pedagogiska riktlinjer med en representativ modell (DIM, KLM, ATM) från vart och ett av de tre pedagogiska perspektiven.</w:t>
      </w:r>
      <w:proofErr w:type="gramEnd"/>
      <w:r w:rsidRPr="00FF3520">
        <w:rPr>
          <w:sz w:val="18"/>
          <w:szCs w:val="18"/>
          <w:lang w:val="en-GB"/>
        </w:rPr>
        <w:t xml:space="preserve"> </w:t>
      </w:r>
      <w:proofErr w:type="gramStart"/>
      <w:r w:rsidRPr="00FF3520">
        <w:rPr>
          <w:sz w:val="18"/>
          <w:szCs w:val="18"/>
          <w:lang w:val="en-GB"/>
        </w:rPr>
        <w:t>Resultatet visade att det Associativa perspektivet är lämpligast för att representera Grades aktuella pedagogiska riktlinjer.</w:t>
      </w:r>
      <w:proofErr w:type="gramEnd"/>
      <w:r w:rsidRPr="00FF3520">
        <w:rPr>
          <w:sz w:val="18"/>
          <w:szCs w:val="18"/>
          <w:lang w:val="en-GB"/>
        </w:rPr>
        <w:t xml:space="preserve"> </w:t>
      </w:r>
      <w:proofErr w:type="gramStart"/>
      <w:r w:rsidRPr="00FF3520">
        <w:rPr>
          <w:sz w:val="18"/>
          <w:szCs w:val="18"/>
          <w:lang w:val="en-GB"/>
        </w:rPr>
        <w:t>Resultaten tyder på att DIM-modellen skulle kunna representera en bra utgångspunkt för att fortsätta undersöka vilka modeller som skulle kunna implementeras i framtiden på Grade.</w:t>
      </w:r>
      <w:proofErr w:type="gramEnd"/>
      <w:r w:rsidRPr="00FF3520">
        <w:rPr>
          <w:sz w:val="18"/>
          <w:szCs w:val="18"/>
          <w:lang w:val="en-GB"/>
        </w:rPr>
        <w:t xml:space="preserve"> Studien syftade också på att förstå vilka för och- nackdelar som </w:t>
      </w:r>
      <w:proofErr w:type="gramStart"/>
      <w:r w:rsidRPr="00FF3520">
        <w:rPr>
          <w:sz w:val="18"/>
          <w:szCs w:val="18"/>
          <w:lang w:val="en-GB"/>
        </w:rPr>
        <w:t>finns</w:t>
      </w:r>
      <w:proofErr w:type="gramEnd"/>
      <w:r w:rsidRPr="00FF3520">
        <w:rPr>
          <w:sz w:val="18"/>
          <w:szCs w:val="18"/>
          <w:lang w:val="en-GB"/>
        </w:rPr>
        <w:t xml:space="preserve">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E-kurser är vanligtvis designade av specialiserade e-lärande företag (ELF), vilka anställs av e-lärande inköpsföretag (EIF) som har ett intresse av att vidareutbilda sin personal med hjälp av e-lärande som metod.</w:t>
      </w:r>
      <w:proofErr w:type="gramEnd"/>
      <w:r w:rsidRPr="00FF3520">
        <w:rPr>
          <w:sz w:val="18"/>
          <w:szCs w:val="18"/>
          <w:lang w:val="en-GB"/>
        </w:rPr>
        <w:t xml:space="preserve">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lärande.”</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w:t>
      </w:r>
      <w:proofErr w:type="gramStart"/>
      <w:r w:rsidRPr="00FF3520">
        <w:rPr>
          <w:sz w:val="18"/>
          <w:szCs w:val="18"/>
          <w:lang w:val="en-GB"/>
        </w:rPr>
        <w:t>kan</w:t>
      </w:r>
      <w:proofErr w:type="gramEnd"/>
      <w:r w:rsidRPr="00FF3520">
        <w:rPr>
          <w:sz w:val="18"/>
          <w:szCs w:val="18"/>
          <w:lang w:val="en-GB"/>
        </w:rPr>
        <w:t xml:space="preserve">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Nya lärometoder utvärderas genom att jämföra inlärningen hos studenter som exponerats för lärometoden mot en kontrollgrupp.</w:t>
      </w:r>
      <w:proofErr w:type="gramEnd"/>
      <w:r w:rsidRPr="00FF3520">
        <w:rPr>
          <w:sz w:val="18"/>
          <w:szCs w:val="18"/>
          <w:lang w:val="en-GB"/>
        </w:rPr>
        <w:t xml:space="preserve">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I ELF är pedagogiska modeller användbara eftersom de både strukturerar kursinnehållet och bidrar till att studenten utbildar sig efter sin kognitiva förmåga.</w:t>
      </w:r>
      <w:proofErr w:type="gramEnd"/>
      <w:r w:rsidRPr="00FF3520">
        <w:rPr>
          <w:sz w:val="18"/>
          <w:szCs w:val="18"/>
          <w:lang w:val="en-GB"/>
        </w:rPr>
        <w:t xml:space="preserve">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gramStart"/>
      <w:r w:rsidRPr="00FF3520">
        <w:rPr>
          <w:sz w:val="18"/>
          <w:szCs w:val="18"/>
          <w:lang w:val="en-GB"/>
        </w:rPr>
        <w:t>Enligt vissa ramverk, delas pedagogik upp i ett flertal olika perspektiv där varje perspektiv inkluderar flera pedagogiska modeller.</w:t>
      </w:r>
      <w:proofErr w:type="gramEnd"/>
      <w:r w:rsidRPr="00FF3520">
        <w:rPr>
          <w:sz w:val="18"/>
          <w:szCs w:val="18"/>
          <w:lang w:val="en-GB"/>
        </w:rPr>
        <w:t xml:space="preserve"> De pedagogiska perspektiven: Associativ (Associative), Kognitiv (Cognitive) och Sociokulturellt (Situative),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En av de pedagogiska modellerna som används inom det Associativa perspektivet är Direkt Instruktion Modellen (DIM).</w:t>
      </w:r>
      <w:proofErr w:type="gramEnd"/>
      <w:r w:rsidRPr="00FF3520">
        <w:rPr>
          <w:sz w:val="18"/>
          <w:szCs w:val="18"/>
          <w:lang w:val="en-GB"/>
        </w:rPr>
        <w:t xml:space="preserve">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Studenten lär sig bl.a.</w:t>
      </w:r>
      <w:proofErr w:type="gramEnd"/>
      <w:r w:rsidRPr="00FF3520">
        <w:rPr>
          <w:sz w:val="18"/>
          <w:szCs w:val="18"/>
          <w:lang w:val="en-GB"/>
        </w:rPr>
        <w:t xml:space="preserve"> </w:t>
      </w:r>
      <w:proofErr w:type="gramStart"/>
      <w:r w:rsidRPr="00FF3520">
        <w:rPr>
          <w:sz w:val="18"/>
          <w:szCs w:val="18"/>
          <w:lang w:val="en-GB"/>
        </w:rPr>
        <w:t>genom</w:t>
      </w:r>
      <w:proofErr w:type="gramEnd"/>
      <w:r w:rsidRPr="00FF3520">
        <w:rPr>
          <w:sz w:val="18"/>
          <w:szCs w:val="18"/>
          <w:lang w:val="en-GB"/>
        </w:rPr>
        <w:t xml:space="preserve">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w:t>
      </w:r>
      <w:proofErr w:type="gramStart"/>
      <w:r w:rsidRPr="00FF3520">
        <w:rPr>
          <w:sz w:val="18"/>
          <w:szCs w:val="18"/>
          <w:lang w:val="en-GB"/>
        </w:rPr>
        <w:t>kan</w:t>
      </w:r>
      <w:proofErr w:type="gramEnd"/>
      <w:r w:rsidRPr="00FF3520">
        <w:rPr>
          <w:sz w:val="18"/>
          <w:szCs w:val="18"/>
          <w:lang w:val="en-GB"/>
        </w:rPr>
        <w:t xml:space="preserve"> skaffa sig kunskaper tillsammans. </w:t>
      </w:r>
      <w:proofErr w:type="gramStart"/>
      <w:r w:rsidRPr="00FF3520">
        <w:rPr>
          <w:sz w:val="18"/>
          <w:szCs w:val="18"/>
          <w:lang w:val="en-GB"/>
        </w:rPr>
        <w:t>I de små studentgrupperna, motiveras studenten till lärande genom bl.a.</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ATM förutsätter att deltagare jobbar tillsammans mot ett gemensamt ändamål (gemenskap).</w:t>
      </w:r>
      <w:proofErr w:type="gramEnd"/>
      <w:r w:rsidRPr="00FF3520">
        <w:rPr>
          <w:sz w:val="18"/>
          <w:szCs w:val="18"/>
          <w:lang w:val="en-GB"/>
        </w:rPr>
        <w:t xml:space="preserve"> </w:t>
      </w:r>
      <w:proofErr w:type="gramStart"/>
      <w:r w:rsidRPr="00FF3520">
        <w:rPr>
          <w:sz w:val="18"/>
          <w:szCs w:val="18"/>
          <w:lang w:val="en-GB"/>
        </w:rPr>
        <w:t>Detta sker med hjälp av specifika verktyg för att nå ett inlärningsresultat och som är styrd av regler och sociala organisationsmodeller.</w:t>
      </w:r>
      <w:proofErr w:type="gramEnd"/>
      <w:r w:rsidRPr="00FF3520">
        <w:rPr>
          <w:sz w:val="18"/>
          <w:szCs w:val="18"/>
          <w:lang w:val="en-GB"/>
        </w:rPr>
        <w:t xml:space="preserve"> ATM-baserad inlärning gör att förståelse uppstår både individuellt och gemensamt när det arbetas praktiskt i ett socialt sammanhang.”</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proofErr w:type="gramStart"/>
      <w:r w:rsidR="00904C2C">
        <w:rPr>
          <w:sz w:val="18"/>
          <w:szCs w:val="18"/>
          <w:lang w:val="en-GB"/>
        </w:rPr>
        <w:t>e</w:t>
      </w:r>
      <w:r w:rsidRPr="00833E2A">
        <w:rPr>
          <w:sz w:val="18"/>
          <w:szCs w:val="18"/>
          <w:lang w:val="en-GB"/>
        </w:rPr>
        <w:t>xploratory</w:t>
      </w:r>
      <w:proofErr w:type="gramEnd"/>
      <w:r w:rsidRPr="00833E2A">
        <w:rPr>
          <w:sz w:val="18"/>
          <w:szCs w:val="18"/>
          <w:lang w:val="en-GB"/>
        </w:rPr>
        <w:t xml:space="preserve">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Default="002768CA" w:rsidP="00093B7E">
      <w:pPr>
        <w:rPr>
          <w:sz w:val="22"/>
          <w:szCs w:val="22"/>
          <w:lang w:val="en-GB"/>
        </w:rPr>
      </w:pPr>
      <w:r>
        <w:rPr>
          <w:sz w:val="22"/>
          <w:szCs w:val="22"/>
          <w:lang w:val="en-GB"/>
        </w:rPr>
        <w:t>In addition, the sm</w:t>
      </w:r>
      <w:r w:rsidR="00904C2C">
        <w:rPr>
          <w:sz w:val="22"/>
          <w:szCs w:val="22"/>
          <w:lang w:val="en-GB"/>
        </w:rPr>
        <w:t xml:space="preserve">all sample size is mentioned </w:t>
      </w:r>
      <w:r>
        <w:rPr>
          <w:sz w:val="22"/>
          <w:szCs w:val="22"/>
          <w:lang w:val="en-GB"/>
        </w:rPr>
        <w:t xml:space="preserve">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“Begränsningar skall diskuteras i termer av reproducerbarhet, validitet, reliabilitet, generaliserbarhet, vidareförbarhet, trovärdighet, etc., beroende på metodval och metodtillämpning.</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03D6EE3E" w14:textId="53C6087C" w:rsidR="008A44B6" w:rsidRPr="008A44B6" w:rsidRDefault="008A44B6" w:rsidP="008A44B6">
      <w:pPr>
        <w:rPr>
          <w:sz w:val="18"/>
          <w:szCs w:val="18"/>
        </w:rPr>
      </w:pPr>
      <w:r>
        <w:rPr>
          <w:sz w:val="18"/>
          <w:szCs w:val="18"/>
        </w:rPr>
        <w:t>”</w:t>
      </w:r>
      <w:r w:rsidRPr="008A44B6">
        <w:rPr>
          <w:sz w:val="18"/>
          <w:szCs w:val="18"/>
        </w:rPr>
        <w:t xml:space="preserve">Denna studie använder också representativa frågor i kartläggningsprocessen men </w:t>
      </w:r>
      <w:proofErr w:type="gramStart"/>
      <w:r w:rsidRPr="008A44B6">
        <w:rPr>
          <w:sz w:val="18"/>
          <w:szCs w:val="18"/>
        </w:rPr>
        <w:t>nyttjar</w:t>
      </w:r>
      <w:proofErr w:type="gramEnd"/>
      <w:r w:rsidRPr="008A44B6">
        <w:rPr>
          <w:sz w:val="18"/>
          <w:szCs w:val="18"/>
        </w:rPr>
        <w:t xml:space="preserve"> sig av ett flertal frågor per perspektiv, vilket ger ett mer nyanserat resultat. I och med att denna studie representerar varje pedagogiskt perspektiv med en modell från perspektivet, har studien också möjlighet att direkt identifiera en potentiell modell som skulle kunna implementeras i företaget. (Till skillnad) Jämfört med Mayes &amp; de Freitas (2004), hade strategin som användes i denna studie fördelen att använda en strukturerad inter</w:t>
      </w:r>
      <w:bookmarkStart w:id="0" w:name="_GoBack"/>
      <w:bookmarkEnd w:id="0"/>
      <w:r w:rsidRPr="008A44B6">
        <w:rPr>
          <w:sz w:val="18"/>
          <w:szCs w:val="18"/>
        </w:rPr>
        <w:t xml:space="preserve">vju. Det bidrog till att erfarna personer inom området kunna bidra med extern information för att förbättra kartläggningsprocessen jämfört med Mayes &amp; de Freitas studie. Detta har till följd att forskarens förutfattade meningar begränsas och att trovärdigheten av resultatet ökas. </w:t>
      </w:r>
      <w:r>
        <w:rPr>
          <w:sz w:val="18"/>
          <w:szCs w:val="18"/>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E477AD">
      <w:pPr>
        <w:widowControl w:val="0"/>
        <w:autoSpaceDE w:val="0"/>
        <w:autoSpaceDN w:val="0"/>
        <w:adjustRightInd w:val="0"/>
        <w:spacing w:after="240"/>
        <w:rPr>
          <w:sz w:val="18"/>
          <w:szCs w:val="18"/>
          <w:lang w:val="en-GB"/>
        </w:rPr>
      </w:pPr>
      <w:r w:rsidRPr="00FF3520">
        <w:rPr>
          <w:sz w:val="18"/>
          <w:szCs w:val="18"/>
          <w:lang w:val="en-GB"/>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29C24420" w:rsidR="00BA0599" w:rsidRPr="004D34E7" w:rsidRDefault="005B3C65" w:rsidP="004D34E7">
      <w:pPr>
        <w:jc w:val="both"/>
        <w:rPr>
          <w:sz w:val="18"/>
          <w:szCs w:val="18"/>
        </w:rPr>
      </w:pPr>
      <w:r>
        <w:rPr>
          <w:sz w:val="18"/>
          <w:szCs w:val="18"/>
          <w:lang w:val="en-GB"/>
        </w:rPr>
        <w:t>“</w:t>
      </w:r>
      <w:r w:rsidR="004D34E7" w:rsidRPr="004D34E7">
        <w:rPr>
          <w:sz w:val="18"/>
          <w:szCs w:val="18"/>
        </w:rPr>
        <w:t xml:space="preserve">På grund av studiens utformning och faktumet att denna studie fokuserar på ett enskilt företag, Grade, uppstår det inte några </w:t>
      </w:r>
      <w:commentRangeStart w:id="1"/>
      <w:r w:rsidR="004D34E7" w:rsidRPr="004D34E7">
        <w:rPr>
          <w:sz w:val="18"/>
          <w:szCs w:val="18"/>
        </w:rPr>
        <w:t xml:space="preserve">etniska </w:t>
      </w:r>
      <w:commentRangeEnd w:id="1"/>
      <w:r w:rsidR="00904C2C">
        <w:rPr>
          <w:rStyle w:val="Kommentarsreferens"/>
        </w:rPr>
        <w:commentReference w:id="1"/>
      </w:r>
      <w:r w:rsidR="004D34E7" w:rsidRPr="004D34E7">
        <w:rPr>
          <w:sz w:val="18"/>
          <w:szCs w:val="18"/>
        </w:rPr>
        <w:t>och samhälleliga konsekvenserna baserat på studiens slutsatser. Trots detta kan framtida studier med liknande mål och en alternativ studieutformning, möjliggöra en bredare generalisering av resultaten där sådana konsekvenser kan förväntas.</w:t>
      </w:r>
      <w:r w:rsidRPr="004D34E7">
        <w:rPr>
          <w:sz w:val="18"/>
          <w:szCs w:val="18"/>
          <w:lang w:val="en-GB"/>
        </w:rPr>
        <w:t>”</w:t>
      </w: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p>
    <w:sectPr w:rsidR="00BA0599"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Serviss" w:date="2019-05-26T16:34:00Z" w:initials="JS">
    <w:p w14:paraId="060052D0" w14:textId="20B155FA" w:rsidR="0051351D" w:rsidRDefault="0051351D">
      <w:pPr>
        <w:pStyle w:val="Kommentarer"/>
      </w:pPr>
      <w:r>
        <w:rPr>
          <w:rStyle w:val="Kommentarsreferens"/>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34B7C"/>
    <w:rsid w:val="00355C14"/>
    <w:rsid w:val="00356C27"/>
    <w:rsid w:val="00361E4B"/>
    <w:rsid w:val="003E6CB5"/>
    <w:rsid w:val="004676A5"/>
    <w:rsid w:val="004D34E7"/>
    <w:rsid w:val="00505A53"/>
    <w:rsid w:val="0051351D"/>
    <w:rsid w:val="00524C36"/>
    <w:rsid w:val="005B3C65"/>
    <w:rsid w:val="005B4635"/>
    <w:rsid w:val="00647D4C"/>
    <w:rsid w:val="006775AB"/>
    <w:rsid w:val="00697B89"/>
    <w:rsid w:val="00770FD4"/>
    <w:rsid w:val="007E610D"/>
    <w:rsid w:val="007F5E89"/>
    <w:rsid w:val="008160C6"/>
    <w:rsid w:val="0081648F"/>
    <w:rsid w:val="00833E2A"/>
    <w:rsid w:val="00841D51"/>
    <w:rsid w:val="0088400C"/>
    <w:rsid w:val="008A44B6"/>
    <w:rsid w:val="008C68C0"/>
    <w:rsid w:val="008D58CE"/>
    <w:rsid w:val="00904C2C"/>
    <w:rsid w:val="00907EFC"/>
    <w:rsid w:val="00975781"/>
    <w:rsid w:val="009C30AB"/>
    <w:rsid w:val="009D742B"/>
    <w:rsid w:val="009F7109"/>
    <w:rsid w:val="00A21D96"/>
    <w:rsid w:val="00A64F4C"/>
    <w:rsid w:val="00BA0599"/>
    <w:rsid w:val="00C202F1"/>
    <w:rsid w:val="00C506AF"/>
    <w:rsid w:val="00CB2BA6"/>
    <w:rsid w:val="00CF3D78"/>
    <w:rsid w:val="00D02843"/>
    <w:rsid w:val="00D1569C"/>
    <w:rsid w:val="00D22AB7"/>
    <w:rsid w:val="00D474EC"/>
    <w:rsid w:val="00D7684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8807</Words>
  <Characters>46682</Characters>
  <Application>Microsoft Macintosh Word</Application>
  <DocSecurity>0</DocSecurity>
  <Lines>389</Lines>
  <Paragraphs>110</Paragraphs>
  <ScaleCrop>false</ScaleCrop>
  <Company/>
  <LinksUpToDate>false</LinksUpToDate>
  <CharactersWithSpaces>55379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28</cp:revision>
  <dcterms:created xsi:type="dcterms:W3CDTF">2019-03-20T16:01:00Z</dcterms:created>
  <dcterms:modified xsi:type="dcterms:W3CDTF">2019-05-27T06:37:00Z</dcterms:modified>
</cp:coreProperties>
</file>