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60" w:line="240" w:lineRule="auto"/>
        <w:jc w:val="left"/>
      </w:pPr>
      <w:r>
        <w:rPr>
          <w:rFonts w:ascii="Calibri" w:hAnsi="Calibri" w:eastAsia="等线"/>
          <w:b/>
          <w:color w:val="2E74B5"/>
          <w:sz w:val="22"/>
        </w:rPr>
        <w:t>学习资源 2 · 知识库素材</w:t>
      </w:r>
    </w:p>
    <w:p>
      <w:pPr>
        <w:spacing w:before="0" w:after="80" w:line="252" w:lineRule="auto"/>
        <w:jc w:val="left"/>
      </w:pPr>
      <w:r>
        <w:rPr>
          <w:rFonts w:ascii="Calibri" w:hAnsi="Calibri" w:eastAsia="等线"/>
          <w:b/>
          <w:color w:val="1F3A5F"/>
          <w:sz w:val="48"/>
        </w:rPr>
        <w:t>APEC 知识库素材</w:t>
      </w:r>
    </w:p>
    <w:p>
      <w:pPr>
        <w:spacing w:before="0" w:after="120" w:line="276" w:lineRule="auto"/>
        <w:jc w:val="left"/>
      </w:pPr>
      <w:r>
        <w:rPr>
          <w:rFonts w:ascii="Calibri" w:hAnsi="Calibri" w:eastAsia="等线"/>
          <w:color w:val="40464C"/>
          <w:sz w:val="25"/>
        </w:rPr>
        <w:t>给智能体“喂”的专属资料：复制粘贴即可，让它可以准确回答 APEC 问题。</w:t>
      </w:r>
    </w:p>
    <w:p>
      <w:pPr>
        <w:pBdr>
          <w:bottom w:val="single" w:sz="12" w:space="6" w:color="2E74B5"/>
        </w:pBdr>
        <w:spacing w:before="0" w:after="200" w:line="264" w:lineRule="auto"/>
        <w:jc w:val="left"/>
      </w:pPr>
      <w:r>
        <w:rPr>
          <w:rFonts w:ascii="Calibri" w:hAnsi="Calibri" w:eastAsia="等线"/>
          <w:color w:val="595F66"/>
          <w:sz w:val="19"/>
        </w:rPr>
        <w:t>课题：AI智能体——构建APEC知识助手　|　用途：智能体知识库内容　|　资料：据官方公开信息整理</w:t>
      </w:r>
    </w:p>
    <w:p>
      <w:pPr>
        <w:pStyle w:val="Heading1"/>
        <w:keepNext/>
        <w:spacing w:before="360" w:after="200" w:line="264" w:lineRule="auto"/>
        <w:jc w:val="left"/>
      </w:pPr>
      <w:r>
        <w:rPr>
          <w:rFonts w:ascii="Calibri" w:hAnsi="Calibri" w:eastAsia="等线"/>
          <w:b/>
          <w:color w:val="2E74B5"/>
          <w:sz w:val="32"/>
        </w:rPr>
        <w:t>一、这份素材怎么用</w:t>
      </w:r>
    </w:p>
    <w:p>
      <w:pPr>
        <w:numPr>
          <w:ilvl w:val="0"/>
          <w:numId w:val="100"/>
        </w:numPr>
        <w:spacing w:before="0" w:after="80" w:line="300" w:lineRule="auto"/>
        <w:jc w:val="left"/>
      </w:pPr>
      <w:r>
        <w:rPr>
          <w:rFonts w:ascii="Calibri" w:hAnsi="Calibri" w:eastAsia="等线"/>
          <w:b w:val="0"/>
          <w:color w:val="222222"/>
          <w:sz w:val="22"/>
        </w:rPr>
        <w:t>在智能体平台进入“知识库”，新建一个文本/知识条目；</w:t>
      </w:r>
    </w:p>
    <w:p>
      <w:pPr>
        <w:numPr>
          <w:ilvl w:val="0"/>
          <w:numId w:val="100"/>
        </w:numPr>
        <w:spacing w:before="0" w:after="80" w:line="300" w:lineRule="auto"/>
        <w:jc w:val="left"/>
      </w:pPr>
      <w:r>
        <w:rPr>
          <w:rFonts w:ascii="Calibri" w:hAnsi="Calibri" w:eastAsia="等线"/>
          <w:b w:val="0"/>
          <w:color w:val="222222"/>
          <w:sz w:val="22"/>
        </w:rPr>
        <w:t>把下面各节内容</w:t>
      </w:r>
      <w:r>
        <w:rPr>
          <w:rFonts w:ascii="Calibri" w:hAnsi="Calibri" w:eastAsia="等线"/>
          <w:b/>
          <w:color w:val="222222"/>
          <w:sz w:val="22"/>
        </w:rPr>
        <w:t>整段复制</w:t>
      </w:r>
      <w:r>
        <w:rPr>
          <w:rFonts w:ascii="Calibri" w:hAnsi="Calibri" w:eastAsia="等线"/>
          <w:b w:val="0"/>
          <w:color w:val="222222"/>
          <w:sz w:val="22"/>
        </w:rPr>
        <w:t>进去（可分条粘贴，越清晰越好命中）；</w:t>
      </w:r>
    </w:p>
    <w:p>
      <w:pPr>
        <w:numPr>
          <w:ilvl w:val="0"/>
          <w:numId w:val="100"/>
        </w:numPr>
        <w:spacing w:before="0" w:after="80" w:line="300" w:lineRule="auto"/>
        <w:jc w:val="left"/>
      </w:pPr>
      <w:r>
        <w:rPr>
          <w:rFonts w:ascii="Calibri" w:hAnsi="Calibri" w:eastAsia="等线"/>
          <w:b w:val="0"/>
          <w:color w:val="222222"/>
          <w:sz w:val="22"/>
        </w:rPr>
        <w:t>保存后</w:t>
      </w:r>
      <w:r>
        <w:rPr>
          <w:rFonts w:ascii="Calibri" w:hAnsi="Calibri" w:eastAsia="等线"/>
          <w:b/>
          <w:color w:val="222222"/>
          <w:sz w:val="22"/>
        </w:rPr>
        <w:t>重新发布</w:t>
      </w:r>
      <w:r>
        <w:rPr>
          <w:rFonts w:ascii="Calibri" w:hAnsi="Calibri" w:eastAsia="等线"/>
          <w:b w:val="0"/>
          <w:color w:val="222222"/>
          <w:sz w:val="22"/>
        </w:rPr>
        <w:t>智能体；</w:t>
      </w:r>
    </w:p>
    <w:p>
      <w:pPr>
        <w:numPr>
          <w:ilvl w:val="0"/>
          <w:numId w:val="100"/>
        </w:numPr>
        <w:spacing w:before="0" w:after="80" w:line="300" w:lineRule="auto"/>
        <w:jc w:val="left"/>
      </w:pPr>
      <w:r>
        <w:rPr>
          <w:rFonts w:ascii="Calibri" w:hAnsi="Calibri" w:eastAsia="等线"/>
          <w:b w:val="0"/>
          <w:color w:val="222222"/>
          <w:sz w:val="22"/>
        </w:rPr>
        <w:t>回到对话里测试：“APEC有哪些成员？”“2026年主题是什么？”</w:t>
      </w:r>
    </w:p>
    <w:tbl>
      <w:tblPr>
        <w:tblW w:type="dxa" w:w="9360"/>
        <w:jc w:val="left"/>
        <w:tblInd w:w="120" w:type="dxa"/>
        <w:tblBorders>
          <w:top w:val="single" w:sz="6" w:space="0" w:color="C7D2E0"/>
          <w:left w:val="single" w:sz="6" w:space="0" w:color="C7D2E0"/>
          <w:bottom w:val="single" w:sz="6" w:space="0" w:color="C7D2E0"/>
          <w:right w:val="single" w:sz="6" w:space="0" w:color="C7D2E0"/>
          <w:insideH w:val="single" w:sz="6" w:space="0" w:color="C7D2E0"/>
          <w:insideV w:val="single" w:sz="6" w:space="0" w:color="C7D2E0"/>
        </w:tblBorders>
        <w:tblLayout w:type="fixed"/>
        <w:tblLook w:firstColumn="1" w:firstRow="1" w:lastColumn="0" w:lastRow="0" w:noHBand="0" w:noVBand="1" w:val="04A0"/>
        <w:tblCellMar>
          <w:top w:w="80" w:type="dxa"/>
          <w:bottom w:w="80" w:type="dxa"/>
          <w:start w:w="120" w:type="dxa"/>
          <w:end w:w="120" w:type="dxa"/>
        </w:tblCellMar>
      </w:tblPr>
      <w:tblGrid>
        <w:gridCol w:w="9360"/>
      </w:tblGrid>
      <w:tr>
        <w:tc>
          <w:tcPr>
            <w:tcW w:type="dxa" w:w="9360"/>
            <w:shd w:val="clear" w:color="auto" w:fill="F4F6F9"/>
            <w:vAlign w:val="center"/>
          </w:tcPr>
          <w:p>
            <w:pPr>
              <w:spacing w:before="0" w:after="0" w:line="288" w:lineRule="auto"/>
              <w:jc w:val="left"/>
            </w:pPr>
            <w:r>
              <w:rPr>
                <w:rFonts w:ascii="Calibri" w:hAnsi="Calibri" w:eastAsia="等线"/>
                <w:b w:val="0"/>
                <w:color w:val="222222"/>
                <w:sz w:val="22"/>
              </w:rPr>
              <w:t>注意：知识库是“给智能体读的资料”，不是粘贴进聊天框。想让智能体一问一个准，资料写成短句事实或“问句→答案”，比整段论文式文字更好用。</w:t>
            </w:r>
          </w:p>
        </w:tc>
      </w:tr>
    </w:tbl>
    <w:p>
      <w:pPr>
        <w:spacing w:before="0" w:after="120" w:line="240" w:lineRule="auto"/>
        <w:jc w:val="left"/>
      </w:pPr>
      <w:r/>
    </w:p>
    <w:p>
      <w:pPr>
        <w:pStyle w:val="Heading1"/>
        <w:keepNext/>
        <w:spacing w:before="360" w:after="200" w:line="264" w:lineRule="auto"/>
        <w:jc w:val="left"/>
      </w:pPr>
      <w:r>
        <w:rPr>
          <w:rFonts w:ascii="Calibri" w:hAnsi="Calibri" w:eastAsia="等线"/>
          <w:b/>
          <w:color w:val="2E74B5"/>
          <w:sz w:val="32"/>
        </w:rPr>
        <w:t>二、知识文本 A：APEC 是什么</w:t>
      </w:r>
    </w:p>
    <w:p>
      <w:pPr>
        <w:numPr>
          <w:ilvl w:val="0"/>
          <w:numId w:val="101"/>
        </w:numPr>
        <w:spacing w:before="0" w:after="80" w:line="300" w:lineRule="auto"/>
        <w:jc w:val="left"/>
      </w:pPr>
      <w:r>
        <w:rPr>
          <w:rFonts w:ascii="Calibri" w:hAnsi="Calibri" w:eastAsia="等线"/>
          <w:b/>
          <w:color w:val="222222"/>
          <w:sz w:val="22"/>
        </w:rPr>
        <w:t>全称</w:t>
      </w:r>
      <w:r>
        <w:rPr>
          <w:rFonts w:ascii="Calibri" w:hAnsi="Calibri" w:eastAsia="等线"/>
          <w:b w:val="0"/>
          <w:color w:val="222222"/>
          <w:sz w:val="22"/>
        </w:rPr>
        <w:t>：中文叫“亚太经济合作组织”，英文是 Asia-Pacific Economic Cooperation，简称 APEC。</w:t>
      </w:r>
    </w:p>
    <w:p>
      <w:pPr>
        <w:numPr>
          <w:ilvl w:val="0"/>
          <w:numId w:val="102"/>
        </w:numPr>
        <w:spacing w:before="0" w:after="80" w:line="300" w:lineRule="auto"/>
        <w:jc w:val="left"/>
      </w:pPr>
      <w:r>
        <w:rPr>
          <w:rFonts w:ascii="Calibri" w:hAnsi="Calibri" w:eastAsia="等线"/>
          <w:b/>
          <w:color w:val="222222"/>
          <w:sz w:val="22"/>
        </w:rPr>
        <w:t>性质</w:t>
      </w:r>
      <w:r>
        <w:rPr>
          <w:rFonts w:ascii="Calibri" w:hAnsi="Calibri" w:eastAsia="等线"/>
          <w:b w:val="0"/>
          <w:color w:val="222222"/>
          <w:sz w:val="22"/>
        </w:rPr>
        <w:t>：亚太地区重要的经济合作平台/论坛，成员以“经济体”为单位参加。</w:t>
      </w:r>
    </w:p>
    <w:p>
      <w:pPr>
        <w:numPr>
          <w:ilvl w:val="0"/>
          <w:numId w:val="103"/>
        </w:numPr>
        <w:spacing w:before="0" w:after="80" w:line="300" w:lineRule="auto"/>
        <w:jc w:val="left"/>
      </w:pPr>
      <w:r>
        <w:rPr>
          <w:rFonts w:ascii="Calibri" w:hAnsi="Calibri" w:eastAsia="等线"/>
          <w:b/>
          <w:color w:val="222222"/>
          <w:sz w:val="22"/>
        </w:rPr>
        <w:t>成立时间</w:t>
      </w:r>
      <w:r>
        <w:rPr>
          <w:rFonts w:ascii="Calibri" w:hAnsi="Calibri" w:eastAsia="等线"/>
          <w:b w:val="0"/>
          <w:color w:val="222222"/>
          <w:sz w:val="22"/>
        </w:rPr>
        <w:t>：1989年11月，首届部长级会议在澳大利亚堪培拉举行。</w:t>
      </w:r>
    </w:p>
    <w:p>
      <w:pPr>
        <w:numPr>
          <w:ilvl w:val="0"/>
          <w:numId w:val="104"/>
        </w:numPr>
        <w:spacing w:before="0" w:after="80" w:line="300" w:lineRule="auto"/>
        <w:jc w:val="left"/>
      </w:pPr>
      <w:r>
        <w:rPr>
          <w:rFonts w:ascii="Calibri" w:hAnsi="Calibri" w:eastAsia="等线"/>
          <w:b/>
          <w:color w:val="222222"/>
          <w:sz w:val="22"/>
        </w:rPr>
        <w:t>秘书处</w:t>
      </w:r>
      <w:r>
        <w:rPr>
          <w:rFonts w:ascii="Calibri" w:hAnsi="Calibri" w:eastAsia="等线"/>
          <w:b w:val="0"/>
          <w:color w:val="222222"/>
          <w:sz w:val="22"/>
        </w:rPr>
        <w:t>：1993年1月起设在新加坡，为APEC各层次活动提供支持。</w:t>
      </w:r>
    </w:p>
    <w:p>
      <w:pPr>
        <w:numPr>
          <w:ilvl w:val="0"/>
          <w:numId w:val="105"/>
        </w:numPr>
        <w:spacing w:before="0" w:after="80" w:line="300" w:lineRule="auto"/>
        <w:jc w:val="left"/>
      </w:pPr>
      <w:r>
        <w:rPr>
          <w:rFonts w:ascii="Calibri" w:hAnsi="Calibri" w:eastAsia="等线"/>
          <w:b/>
          <w:color w:val="222222"/>
          <w:sz w:val="22"/>
        </w:rPr>
        <w:t>宗旨</w:t>
      </w:r>
      <w:r>
        <w:rPr>
          <w:rFonts w:ascii="Calibri" w:hAnsi="Calibri" w:eastAsia="等线"/>
          <w:b w:val="0"/>
          <w:color w:val="222222"/>
          <w:sz w:val="22"/>
        </w:rPr>
        <w:t>：支持亚太区域经济可持续增长与繁荣，捍卫自由开放的贸易和投资，促进区域经济一体化与经济技术合作。</w:t>
      </w:r>
    </w:p>
    <w:tbl>
      <w:tblPr>
        <w:tblW w:type="dxa" w:w="9360"/>
        <w:jc w:val="left"/>
        <w:tblInd w:w="120" w:type="dxa"/>
        <w:tblBorders>
          <w:top w:val="single" w:sz="6" w:space="0" w:color="C7D2E0"/>
          <w:left w:val="single" w:sz="6" w:space="0" w:color="C7D2E0"/>
          <w:bottom w:val="single" w:sz="6" w:space="0" w:color="C7D2E0"/>
          <w:right w:val="single" w:sz="6" w:space="0" w:color="C7D2E0"/>
          <w:insideH w:val="single" w:sz="6" w:space="0" w:color="C7D2E0"/>
          <w:insideV w:val="single" w:sz="6" w:space="0" w:color="C7D2E0"/>
        </w:tblBorders>
        <w:tblLayout w:type="fixed"/>
        <w:tblLook w:firstColumn="1" w:firstRow="1" w:lastColumn="0" w:lastRow="0" w:noHBand="0" w:noVBand="1" w:val="04A0"/>
        <w:tblCellMar>
          <w:top w:w="80" w:type="dxa"/>
          <w:bottom w:w="80" w:type="dxa"/>
          <w:start w:w="120" w:type="dxa"/>
          <w:end w:w="120" w:type="dxa"/>
        </w:tblCellMar>
      </w:tblPr>
      <w:tblGrid>
        <w:gridCol w:w="9360"/>
      </w:tblGrid>
      <w:tr>
        <w:tc>
          <w:tcPr>
            <w:tcW w:type="dxa" w:w="9360"/>
            <w:shd w:val="clear" w:color="auto" w:fill="F4F6F9"/>
            <w:vAlign w:val="center"/>
          </w:tcPr>
          <w:p>
            <w:pPr>
              <w:spacing w:before="0" w:after="0" w:line="288" w:lineRule="auto"/>
              <w:jc w:val="left"/>
            </w:pPr>
            <w:r>
              <w:rPr>
                <w:rFonts w:ascii="Calibri" w:hAnsi="Calibri" w:eastAsia="等线"/>
                <w:b w:val="0"/>
                <w:color w:val="222222"/>
                <w:sz w:val="22"/>
              </w:rPr>
              <w:t>理解小贴士（给学生读）：APEC不像学校那样是一个固定的“班级组织”，更像21个经济体定期坐下来商量怎么把亚太的经济合作做好的“合作平台”。所以它的成员叫“经济体”，不叫“国家”。</w:t>
            </w:r>
          </w:p>
        </w:tc>
      </w:tr>
    </w:tbl>
    <w:p>
      <w:pPr>
        <w:spacing w:before="0" w:after="120" w:line="240" w:lineRule="auto"/>
        <w:jc w:val="left"/>
      </w:pPr>
      <w:r/>
    </w:p>
    <w:p>
      <w:pPr>
        <w:pStyle w:val="Heading1"/>
        <w:keepNext/>
        <w:spacing w:before="360" w:after="200" w:line="264" w:lineRule="auto"/>
        <w:jc w:val="left"/>
      </w:pPr>
      <w:r>
        <w:rPr>
          <w:rFonts w:ascii="Calibri" w:hAnsi="Calibri" w:eastAsia="等线"/>
          <w:b/>
          <w:color w:val="2E74B5"/>
          <w:sz w:val="32"/>
        </w:rPr>
        <w:t>三、知识文本 B：21 个成员经济体</w:t>
      </w:r>
    </w:p>
    <w:p>
      <w:pPr>
        <w:spacing w:before="0" w:after="80" w:line="300" w:lineRule="auto"/>
        <w:jc w:val="left"/>
      </w:pPr>
      <w:r>
        <w:rPr>
          <w:rFonts w:ascii="Calibri" w:hAnsi="Calibri" w:eastAsia="等线"/>
          <w:b w:val="0"/>
          <w:sz w:val="22"/>
        </w:rPr>
        <w:t>APEC 目前共有 21 个成员经济体：</w:t>
      </w:r>
    </w:p>
    <w:p>
      <w:pPr>
        <w:numPr>
          <w:ilvl w:val="0"/>
          <w:numId w:val="106"/>
        </w:numPr>
        <w:spacing w:before="0" w:after="20" w:line="300" w:lineRule="auto"/>
        <w:jc w:val="left"/>
      </w:pPr>
      <w:r>
        <w:rPr>
          <w:rFonts w:ascii="Calibri" w:hAnsi="Calibri" w:eastAsia="等线"/>
          <w:b w:val="0"/>
          <w:color w:val="222222"/>
          <w:sz w:val="22"/>
        </w:rPr>
        <w:t>中国</w:t>
      </w:r>
    </w:p>
    <w:p>
      <w:pPr>
        <w:numPr>
          <w:ilvl w:val="0"/>
          <w:numId w:val="106"/>
        </w:numPr>
        <w:spacing w:before="0" w:after="20" w:line="300" w:lineRule="auto"/>
        <w:jc w:val="left"/>
      </w:pPr>
      <w:r>
        <w:rPr>
          <w:rFonts w:ascii="Calibri" w:hAnsi="Calibri" w:eastAsia="等线"/>
          <w:b w:val="0"/>
          <w:color w:val="222222"/>
          <w:sz w:val="22"/>
        </w:rPr>
        <w:t>中国香港（Hong Kong, China）</w:t>
      </w:r>
    </w:p>
    <w:p>
      <w:pPr>
        <w:numPr>
          <w:ilvl w:val="0"/>
          <w:numId w:val="106"/>
        </w:numPr>
        <w:spacing w:before="0" w:after="20" w:line="300" w:lineRule="auto"/>
        <w:jc w:val="left"/>
      </w:pPr>
      <w:r>
        <w:rPr>
          <w:rFonts w:ascii="Calibri" w:hAnsi="Calibri" w:eastAsia="等线"/>
          <w:b w:val="0"/>
          <w:color w:val="222222"/>
          <w:sz w:val="22"/>
        </w:rPr>
        <w:t>中国台北（Chinese Taipei）</w:t>
      </w:r>
    </w:p>
    <w:p>
      <w:pPr>
        <w:numPr>
          <w:ilvl w:val="0"/>
          <w:numId w:val="106"/>
        </w:numPr>
        <w:spacing w:before="0" w:after="20" w:line="300" w:lineRule="auto"/>
        <w:jc w:val="left"/>
      </w:pPr>
      <w:r>
        <w:rPr>
          <w:rFonts w:ascii="Calibri" w:hAnsi="Calibri" w:eastAsia="等线"/>
          <w:b w:val="0"/>
          <w:color w:val="222222"/>
          <w:sz w:val="22"/>
        </w:rPr>
        <w:t>日本</w:t>
      </w:r>
    </w:p>
    <w:p>
      <w:pPr>
        <w:numPr>
          <w:ilvl w:val="0"/>
          <w:numId w:val="106"/>
        </w:numPr>
        <w:spacing w:before="0" w:after="20" w:line="300" w:lineRule="auto"/>
        <w:jc w:val="left"/>
      </w:pPr>
      <w:r>
        <w:rPr>
          <w:rFonts w:ascii="Calibri" w:hAnsi="Calibri" w:eastAsia="等线"/>
          <w:b w:val="0"/>
          <w:color w:val="222222"/>
          <w:sz w:val="22"/>
        </w:rPr>
        <w:t>韩国</w:t>
      </w:r>
    </w:p>
    <w:p>
      <w:pPr>
        <w:numPr>
          <w:ilvl w:val="0"/>
          <w:numId w:val="106"/>
        </w:numPr>
        <w:spacing w:before="0" w:after="20" w:line="300" w:lineRule="auto"/>
        <w:jc w:val="left"/>
      </w:pPr>
      <w:r>
        <w:rPr>
          <w:rFonts w:ascii="Calibri" w:hAnsi="Calibri" w:eastAsia="等线"/>
          <w:b w:val="0"/>
          <w:color w:val="222222"/>
          <w:sz w:val="22"/>
        </w:rPr>
        <w:t>马来西亚</w:t>
      </w:r>
    </w:p>
    <w:p>
      <w:pPr>
        <w:numPr>
          <w:ilvl w:val="0"/>
          <w:numId w:val="106"/>
        </w:numPr>
        <w:spacing w:before="0" w:after="20" w:line="300" w:lineRule="auto"/>
        <w:jc w:val="left"/>
      </w:pPr>
      <w:r>
        <w:rPr>
          <w:rFonts w:ascii="Calibri" w:hAnsi="Calibri" w:eastAsia="等线"/>
          <w:b w:val="0"/>
          <w:color w:val="222222"/>
          <w:sz w:val="22"/>
        </w:rPr>
        <w:t>印度尼西亚</w:t>
      </w:r>
    </w:p>
    <w:p>
      <w:pPr>
        <w:numPr>
          <w:ilvl w:val="0"/>
          <w:numId w:val="106"/>
        </w:numPr>
        <w:spacing w:before="0" w:after="20" w:line="300" w:lineRule="auto"/>
        <w:jc w:val="left"/>
      </w:pPr>
      <w:r>
        <w:rPr>
          <w:rFonts w:ascii="Calibri" w:hAnsi="Calibri" w:eastAsia="等线"/>
          <w:b w:val="0"/>
          <w:color w:val="222222"/>
          <w:sz w:val="22"/>
        </w:rPr>
        <w:t>文莱</w:t>
      </w:r>
    </w:p>
    <w:p>
      <w:pPr>
        <w:numPr>
          <w:ilvl w:val="0"/>
          <w:numId w:val="106"/>
        </w:numPr>
        <w:spacing w:before="0" w:after="20" w:line="300" w:lineRule="auto"/>
        <w:jc w:val="left"/>
      </w:pPr>
      <w:r>
        <w:rPr>
          <w:rFonts w:ascii="Calibri" w:hAnsi="Calibri" w:eastAsia="等线"/>
          <w:b w:val="0"/>
          <w:color w:val="222222"/>
          <w:sz w:val="22"/>
        </w:rPr>
        <w:t>菲律宾</w:t>
      </w:r>
    </w:p>
    <w:p>
      <w:pPr>
        <w:numPr>
          <w:ilvl w:val="0"/>
          <w:numId w:val="106"/>
        </w:numPr>
        <w:spacing w:before="0" w:after="20" w:line="300" w:lineRule="auto"/>
        <w:jc w:val="left"/>
      </w:pPr>
      <w:r>
        <w:rPr>
          <w:rFonts w:ascii="Calibri" w:hAnsi="Calibri" w:eastAsia="等线"/>
          <w:b w:val="0"/>
          <w:color w:val="222222"/>
          <w:sz w:val="22"/>
        </w:rPr>
        <w:t>新加坡</w:t>
      </w:r>
    </w:p>
    <w:p>
      <w:pPr>
        <w:numPr>
          <w:ilvl w:val="0"/>
          <w:numId w:val="106"/>
        </w:numPr>
        <w:spacing w:before="0" w:after="20" w:line="300" w:lineRule="auto"/>
        <w:jc w:val="left"/>
      </w:pPr>
      <w:r>
        <w:rPr>
          <w:rFonts w:ascii="Calibri" w:hAnsi="Calibri" w:eastAsia="等线"/>
          <w:b w:val="0"/>
          <w:color w:val="222222"/>
          <w:sz w:val="22"/>
        </w:rPr>
        <w:t>泰国</w:t>
      </w:r>
    </w:p>
    <w:p>
      <w:pPr>
        <w:numPr>
          <w:ilvl w:val="0"/>
          <w:numId w:val="106"/>
        </w:numPr>
        <w:spacing w:before="0" w:after="20" w:line="300" w:lineRule="auto"/>
        <w:jc w:val="left"/>
      </w:pPr>
      <w:r>
        <w:rPr>
          <w:rFonts w:ascii="Calibri" w:hAnsi="Calibri" w:eastAsia="等线"/>
          <w:b w:val="0"/>
          <w:color w:val="222222"/>
          <w:sz w:val="22"/>
        </w:rPr>
        <w:t>越南</w:t>
      </w:r>
    </w:p>
    <w:p>
      <w:pPr>
        <w:numPr>
          <w:ilvl w:val="0"/>
          <w:numId w:val="106"/>
        </w:numPr>
        <w:spacing w:before="0" w:after="20" w:line="300" w:lineRule="auto"/>
        <w:jc w:val="left"/>
      </w:pPr>
      <w:r>
        <w:rPr>
          <w:rFonts w:ascii="Calibri" w:hAnsi="Calibri" w:eastAsia="等线"/>
          <w:b w:val="0"/>
          <w:color w:val="222222"/>
          <w:sz w:val="22"/>
        </w:rPr>
        <w:t>澳大利亚</w:t>
      </w:r>
    </w:p>
    <w:p>
      <w:pPr>
        <w:numPr>
          <w:ilvl w:val="0"/>
          <w:numId w:val="106"/>
        </w:numPr>
        <w:spacing w:before="0" w:after="20" w:line="300" w:lineRule="auto"/>
        <w:jc w:val="left"/>
      </w:pPr>
      <w:r>
        <w:rPr>
          <w:rFonts w:ascii="Calibri" w:hAnsi="Calibri" w:eastAsia="等线"/>
          <w:b w:val="0"/>
          <w:color w:val="222222"/>
          <w:sz w:val="22"/>
        </w:rPr>
        <w:t>新西兰</w:t>
      </w:r>
    </w:p>
    <w:p>
      <w:pPr>
        <w:numPr>
          <w:ilvl w:val="0"/>
          <w:numId w:val="106"/>
        </w:numPr>
        <w:spacing w:before="0" w:after="20" w:line="300" w:lineRule="auto"/>
        <w:jc w:val="left"/>
      </w:pPr>
      <w:r>
        <w:rPr>
          <w:rFonts w:ascii="Calibri" w:hAnsi="Calibri" w:eastAsia="等线"/>
          <w:b w:val="0"/>
          <w:color w:val="222222"/>
          <w:sz w:val="22"/>
        </w:rPr>
        <w:t>巴布亚新几内亚</w:t>
      </w:r>
    </w:p>
    <w:p>
      <w:pPr>
        <w:numPr>
          <w:ilvl w:val="0"/>
          <w:numId w:val="106"/>
        </w:numPr>
        <w:spacing w:before="0" w:after="20" w:line="300" w:lineRule="auto"/>
        <w:jc w:val="left"/>
      </w:pPr>
      <w:r>
        <w:rPr>
          <w:rFonts w:ascii="Calibri" w:hAnsi="Calibri" w:eastAsia="等线"/>
          <w:b w:val="0"/>
          <w:color w:val="222222"/>
          <w:sz w:val="22"/>
        </w:rPr>
        <w:t>智利</w:t>
      </w:r>
    </w:p>
    <w:p>
      <w:pPr>
        <w:numPr>
          <w:ilvl w:val="0"/>
          <w:numId w:val="106"/>
        </w:numPr>
        <w:spacing w:before="0" w:after="20" w:line="300" w:lineRule="auto"/>
        <w:jc w:val="left"/>
      </w:pPr>
      <w:r>
        <w:rPr>
          <w:rFonts w:ascii="Calibri" w:hAnsi="Calibri" w:eastAsia="等线"/>
          <w:b w:val="0"/>
          <w:color w:val="222222"/>
          <w:sz w:val="22"/>
        </w:rPr>
        <w:t>秘鲁</w:t>
      </w:r>
    </w:p>
    <w:p>
      <w:pPr>
        <w:numPr>
          <w:ilvl w:val="0"/>
          <w:numId w:val="106"/>
        </w:numPr>
        <w:spacing w:before="0" w:after="20" w:line="300" w:lineRule="auto"/>
        <w:jc w:val="left"/>
      </w:pPr>
      <w:r>
        <w:rPr>
          <w:rFonts w:ascii="Calibri" w:hAnsi="Calibri" w:eastAsia="等线"/>
          <w:b w:val="0"/>
          <w:color w:val="222222"/>
          <w:sz w:val="22"/>
        </w:rPr>
        <w:t>墨西哥</w:t>
      </w:r>
    </w:p>
    <w:p>
      <w:pPr>
        <w:numPr>
          <w:ilvl w:val="0"/>
          <w:numId w:val="106"/>
        </w:numPr>
        <w:spacing w:before="0" w:after="20" w:line="300" w:lineRule="auto"/>
        <w:jc w:val="left"/>
      </w:pPr>
      <w:r>
        <w:rPr>
          <w:rFonts w:ascii="Calibri" w:hAnsi="Calibri" w:eastAsia="等线"/>
          <w:b w:val="0"/>
          <w:color w:val="222222"/>
          <w:sz w:val="22"/>
        </w:rPr>
        <w:t>美国</w:t>
      </w:r>
    </w:p>
    <w:p>
      <w:pPr>
        <w:numPr>
          <w:ilvl w:val="0"/>
          <w:numId w:val="106"/>
        </w:numPr>
        <w:spacing w:before="0" w:after="20" w:line="300" w:lineRule="auto"/>
        <w:jc w:val="left"/>
      </w:pPr>
      <w:r>
        <w:rPr>
          <w:rFonts w:ascii="Calibri" w:hAnsi="Calibri" w:eastAsia="等线"/>
          <w:b w:val="0"/>
          <w:color w:val="222222"/>
          <w:sz w:val="22"/>
        </w:rPr>
        <w:t>加拿大</w:t>
      </w:r>
    </w:p>
    <w:p>
      <w:pPr>
        <w:numPr>
          <w:ilvl w:val="0"/>
          <w:numId w:val="106"/>
        </w:numPr>
        <w:spacing w:before="0" w:after="20" w:line="300" w:lineRule="auto"/>
        <w:jc w:val="left"/>
      </w:pPr>
      <w:r>
        <w:rPr>
          <w:rFonts w:ascii="Calibri" w:hAnsi="Calibri" w:eastAsia="等线"/>
          <w:b w:val="0"/>
          <w:color w:val="222222"/>
          <w:sz w:val="22"/>
        </w:rPr>
        <w:t>俄罗斯</w:t>
      </w:r>
    </w:p>
    <w:tbl>
      <w:tblPr>
        <w:tblW w:type="dxa" w:w="9360"/>
        <w:jc w:val="left"/>
        <w:tblInd w:w="120" w:type="dxa"/>
        <w:tblBorders>
          <w:top w:val="single" w:sz="6" w:space="0" w:color="C7D2E0"/>
          <w:left w:val="single" w:sz="6" w:space="0" w:color="C7D2E0"/>
          <w:bottom w:val="single" w:sz="6" w:space="0" w:color="C7D2E0"/>
          <w:right w:val="single" w:sz="6" w:space="0" w:color="C7D2E0"/>
          <w:insideH w:val="single" w:sz="6" w:space="0" w:color="C7D2E0"/>
          <w:insideV w:val="single" w:sz="6" w:space="0" w:color="C7D2E0"/>
        </w:tblBorders>
        <w:tblLayout w:type="fixed"/>
        <w:tblLook w:firstColumn="1" w:firstRow="1" w:lastColumn="0" w:lastRow="0" w:noHBand="0" w:noVBand="1" w:val="04A0"/>
        <w:tblCellMar>
          <w:top w:w="80" w:type="dxa"/>
          <w:bottom w:w="80" w:type="dxa"/>
          <w:start w:w="120" w:type="dxa"/>
          <w:end w:w="120" w:type="dxa"/>
        </w:tblCellMar>
      </w:tblPr>
      <w:tblGrid>
        <w:gridCol w:w="9360"/>
      </w:tblGrid>
      <w:tr>
        <w:tc>
          <w:tcPr>
            <w:tcW w:type="dxa" w:w="9360"/>
            <w:shd w:val="clear" w:color="auto" w:fill="F4F6F9"/>
            <w:vAlign w:val="center"/>
          </w:tcPr>
          <w:p>
            <w:pPr>
              <w:spacing w:before="0" w:after="0" w:line="288" w:lineRule="auto"/>
              <w:jc w:val="left"/>
            </w:pPr>
            <w:r>
              <w:rPr>
                <w:rFonts w:ascii="Calibri" w:hAnsi="Calibri" w:eastAsia="等线"/>
                <w:b w:val="0"/>
                <w:color w:val="222222"/>
                <w:sz w:val="22"/>
              </w:rPr>
              <w:t>易错提醒：测试题“中国香港是APEC成员吗？”——答案是“是”。它与中国台北都以“经济体”名义参加（正式名称为 Hong Kong, China 和 Chinese Taipei）；中国大陆以“中国”名义参加。APEC 不称“成员国”，而称“成员经济体”。</w:t>
            </w:r>
          </w:p>
        </w:tc>
      </w:tr>
    </w:tbl>
    <w:p>
      <w:pPr>
        <w:spacing w:before="0" w:after="120" w:line="240" w:lineRule="auto"/>
        <w:jc w:val="left"/>
      </w:pPr>
      <w:r/>
    </w:p>
    <w:p>
      <w:pPr>
        <w:pStyle w:val="Heading1"/>
        <w:keepNext/>
        <w:spacing w:before="360" w:after="200" w:line="264" w:lineRule="auto"/>
        <w:jc w:val="left"/>
      </w:pPr>
      <w:r>
        <w:rPr>
          <w:rFonts w:ascii="Calibri" w:hAnsi="Calibri" w:eastAsia="等线"/>
          <w:b/>
          <w:color w:val="2E74B5"/>
          <w:sz w:val="32"/>
        </w:rPr>
        <w:t>四、知识文本 C：2026 深圳 APEC“中国年”</w:t>
      </w:r>
    </w:p>
    <w:p>
      <w:pPr>
        <w:numPr>
          <w:ilvl w:val="0"/>
          <w:numId w:val="107"/>
        </w:numPr>
        <w:spacing w:before="0" w:after="80" w:line="300" w:lineRule="auto"/>
        <w:jc w:val="left"/>
      </w:pPr>
      <w:r>
        <w:rPr>
          <w:rFonts w:ascii="Calibri" w:hAnsi="Calibri" w:eastAsia="等线"/>
          <w:b/>
          <w:color w:val="222222"/>
          <w:sz w:val="22"/>
        </w:rPr>
        <w:t>时间与地点</w:t>
      </w:r>
      <w:r>
        <w:rPr>
          <w:rFonts w:ascii="Calibri" w:hAnsi="Calibri" w:eastAsia="等线"/>
          <w:b w:val="0"/>
          <w:color w:val="222222"/>
          <w:sz w:val="22"/>
        </w:rPr>
        <w:t>：第33次APEC领导人非正式会议于2026年11月18日至19日在中国广东省深圳市举行。</w:t>
      </w:r>
    </w:p>
    <w:p>
      <w:pPr>
        <w:numPr>
          <w:ilvl w:val="0"/>
          <w:numId w:val="108"/>
        </w:numPr>
        <w:spacing w:before="0" w:after="80" w:line="300" w:lineRule="auto"/>
        <w:jc w:val="left"/>
      </w:pPr>
      <w:r>
        <w:rPr>
          <w:rFonts w:ascii="Calibri" w:hAnsi="Calibri" w:eastAsia="等线"/>
          <w:b/>
          <w:color w:val="222222"/>
          <w:sz w:val="22"/>
        </w:rPr>
        <w:t>办会主题</w:t>
      </w:r>
      <w:r>
        <w:rPr>
          <w:rFonts w:ascii="Calibri" w:hAnsi="Calibri" w:eastAsia="等线"/>
          <w:b w:val="0"/>
          <w:color w:val="222222"/>
          <w:sz w:val="22"/>
        </w:rPr>
        <w:t>：建设亚太共同体，促进共同繁荣（英文：Building an Asia-Pacific Community to Prosper Together）。</w:t>
      </w:r>
    </w:p>
    <w:p>
      <w:pPr>
        <w:numPr>
          <w:ilvl w:val="0"/>
          <w:numId w:val="109"/>
        </w:numPr>
        <w:spacing w:before="0" w:after="80" w:line="300" w:lineRule="auto"/>
        <w:jc w:val="left"/>
      </w:pPr>
      <w:r>
        <w:rPr>
          <w:rFonts w:ascii="Calibri" w:hAnsi="Calibri" w:eastAsia="等线"/>
          <w:b/>
          <w:color w:val="222222"/>
          <w:sz w:val="22"/>
        </w:rPr>
        <w:t>三大优先领域</w:t>
      </w:r>
      <w:r>
        <w:rPr>
          <w:rFonts w:ascii="Calibri" w:hAnsi="Calibri" w:eastAsia="等线"/>
          <w:b w:val="0"/>
          <w:color w:val="222222"/>
          <w:sz w:val="22"/>
        </w:rPr>
        <w:t>：开放、创新、合作。</w:t>
      </w:r>
    </w:p>
    <w:p>
      <w:pPr>
        <w:numPr>
          <w:ilvl w:val="0"/>
          <w:numId w:val="110"/>
        </w:numPr>
        <w:spacing w:before="0" w:after="80" w:line="300" w:lineRule="auto"/>
        <w:jc w:val="left"/>
      </w:pPr>
      <w:r>
        <w:rPr>
          <w:rFonts w:ascii="Calibri" w:hAnsi="Calibri" w:eastAsia="等线"/>
          <w:b/>
          <w:color w:val="222222"/>
          <w:sz w:val="22"/>
        </w:rPr>
        <w:t>配套活动</w:t>
      </w:r>
      <w:r>
        <w:rPr>
          <w:rFonts w:ascii="Calibri" w:hAnsi="Calibri" w:eastAsia="等线"/>
          <w:b w:val="0"/>
          <w:color w:val="222222"/>
          <w:sz w:val="22"/>
        </w:rPr>
        <w:t>：还将举行工商领导人峰会、外交和贸易双部长会等活动。</w:t>
      </w:r>
    </w:p>
    <w:p>
      <w:pPr>
        <w:numPr>
          <w:ilvl w:val="0"/>
          <w:numId w:val="111"/>
        </w:numPr>
        <w:spacing w:before="0" w:after="80" w:line="300" w:lineRule="auto"/>
        <w:jc w:val="left"/>
      </w:pPr>
      <w:r>
        <w:rPr>
          <w:rFonts w:ascii="Calibri" w:hAnsi="Calibri" w:eastAsia="等线"/>
          <w:b/>
          <w:color w:val="222222"/>
          <w:sz w:val="22"/>
        </w:rPr>
        <w:t>背景</w:t>
      </w:r>
      <w:r>
        <w:rPr>
          <w:rFonts w:ascii="Calibri" w:hAnsi="Calibri" w:eastAsia="等线"/>
          <w:b w:val="0"/>
          <w:color w:val="222222"/>
          <w:sz w:val="22"/>
        </w:rPr>
        <w:t>：这是中国第三次主办APEC领导人非正式会议，此前分别是2001年上海、2014年北京。</w:t>
      </w:r>
    </w:p>
    <w:p>
      <w:pPr>
        <w:spacing w:before="0" w:after="80" w:line="300" w:lineRule="auto"/>
        <w:jc w:val="left"/>
      </w:pPr>
      <w:r>
        <w:rPr>
          <w:rFonts w:ascii="Calibri" w:hAnsi="Calibri" w:eastAsia="等线"/>
          <w:b w:val="0"/>
          <w:sz w:val="22"/>
        </w:rPr>
        <w:t>三个词怎么理解（课堂提示，可不用复制给智能体）：</w:t>
      </w:r>
    </w:p>
    <w:p>
      <w:pPr>
        <w:numPr>
          <w:ilvl w:val="0"/>
          <w:numId w:val="112"/>
        </w:numPr>
        <w:spacing w:before="0" w:after="80" w:line="300" w:lineRule="auto"/>
        <w:jc w:val="left"/>
      </w:pPr>
      <w:r>
        <w:rPr>
          <w:rFonts w:ascii="Calibri" w:hAnsi="Calibri" w:eastAsia="等线"/>
          <w:b/>
          <w:color w:val="222222"/>
          <w:sz w:val="22"/>
        </w:rPr>
        <w:t>开放</w:t>
      </w:r>
      <w:r>
        <w:rPr>
          <w:rFonts w:ascii="Calibri" w:hAnsi="Calibri" w:eastAsia="等线"/>
          <w:b w:val="0"/>
          <w:color w:val="222222"/>
          <w:sz w:val="22"/>
        </w:rPr>
        <w:t>：减少壁垒，让各经济体之间的贸易、投资和人员往来更自由；</w:t>
      </w:r>
    </w:p>
    <w:p>
      <w:pPr>
        <w:numPr>
          <w:ilvl w:val="0"/>
          <w:numId w:val="113"/>
        </w:numPr>
        <w:spacing w:before="0" w:after="80" w:line="300" w:lineRule="auto"/>
        <w:jc w:val="left"/>
      </w:pPr>
      <w:r>
        <w:rPr>
          <w:rFonts w:ascii="Calibri" w:hAnsi="Calibri" w:eastAsia="等线"/>
          <w:b/>
          <w:color w:val="222222"/>
          <w:sz w:val="22"/>
        </w:rPr>
        <w:t>创新</w:t>
      </w:r>
      <w:r>
        <w:rPr>
          <w:rFonts w:ascii="Calibri" w:hAnsi="Calibri" w:eastAsia="等线"/>
          <w:b w:val="0"/>
          <w:color w:val="222222"/>
          <w:sz w:val="22"/>
        </w:rPr>
        <w:t>：拥抱新技术与新产业，推动数字化、智能化、绿色化转型；</w:t>
      </w:r>
    </w:p>
    <w:p>
      <w:pPr>
        <w:numPr>
          <w:ilvl w:val="0"/>
          <w:numId w:val="114"/>
        </w:numPr>
        <w:spacing w:before="0" w:after="80" w:line="300" w:lineRule="auto"/>
        <w:jc w:val="left"/>
      </w:pPr>
      <w:r>
        <w:rPr>
          <w:rFonts w:ascii="Calibri" w:hAnsi="Calibri" w:eastAsia="等线"/>
          <w:b/>
          <w:color w:val="222222"/>
          <w:sz w:val="22"/>
        </w:rPr>
        <w:t>合作</w:t>
      </w:r>
      <w:r>
        <w:rPr>
          <w:rFonts w:ascii="Calibri" w:hAnsi="Calibri" w:eastAsia="等线"/>
          <w:b w:val="0"/>
          <w:color w:val="222222"/>
          <w:sz w:val="22"/>
        </w:rPr>
        <w:t>：21个经济体一起商量，把共同的事做好。</w:t>
      </w:r>
    </w:p>
    <w:p>
      <w:pPr>
        <w:pStyle w:val="Heading1"/>
        <w:keepNext/>
        <w:spacing w:before="360" w:after="200" w:line="264" w:lineRule="auto"/>
        <w:jc w:val="left"/>
      </w:pPr>
      <w:r>
        <w:rPr>
          <w:rFonts w:ascii="Calibri" w:hAnsi="Calibri" w:eastAsia="等线"/>
          <w:b/>
          <w:color w:val="2E74B5"/>
          <w:sz w:val="32"/>
        </w:rPr>
        <w:t>五、知识文本 D：会标里的“鲲鹏”</w:t>
      </w:r>
    </w:p>
    <w:p>
      <w:pPr>
        <w:numPr>
          <w:ilvl w:val="0"/>
          <w:numId w:val="115"/>
        </w:numPr>
        <w:spacing w:before="0" w:after="80" w:line="300" w:lineRule="auto"/>
        <w:jc w:val="left"/>
      </w:pPr>
      <w:r>
        <w:rPr>
          <w:rFonts w:ascii="Calibri" w:hAnsi="Calibri" w:eastAsia="等线"/>
          <w:b w:val="0"/>
          <w:color w:val="222222"/>
          <w:sz w:val="22"/>
        </w:rPr>
        <w:t>2026APEC“中国年”会标以</w:t>
      </w:r>
      <w:r>
        <w:rPr>
          <w:rFonts w:ascii="Calibri" w:hAnsi="Calibri" w:eastAsia="等线"/>
          <w:b/>
          <w:color w:val="222222"/>
          <w:sz w:val="22"/>
        </w:rPr>
        <w:t>鲲鹏</w:t>
      </w:r>
      <w:r>
        <w:rPr>
          <w:rFonts w:ascii="Calibri" w:hAnsi="Calibri" w:eastAsia="等线"/>
          <w:b w:val="0"/>
          <w:color w:val="222222"/>
          <w:sz w:val="22"/>
        </w:rPr>
        <w:t>为核心视觉元素。</w:t>
      </w:r>
    </w:p>
    <w:p>
      <w:pPr>
        <w:numPr>
          <w:ilvl w:val="0"/>
          <w:numId w:val="116"/>
        </w:numPr>
        <w:spacing w:before="0" w:after="80" w:line="300" w:lineRule="auto"/>
        <w:jc w:val="left"/>
      </w:pPr>
      <w:r>
        <w:rPr>
          <w:rFonts w:ascii="Calibri" w:hAnsi="Calibri" w:eastAsia="等线"/>
          <w:b w:val="0"/>
          <w:color w:val="222222"/>
          <w:sz w:val="22"/>
        </w:rPr>
        <w:t>深圳别称“鹏城”，鲲鹏展翅与举办城市呼应。</w:t>
      </w:r>
    </w:p>
    <w:p>
      <w:pPr>
        <w:numPr>
          <w:ilvl w:val="0"/>
          <w:numId w:val="117"/>
        </w:numPr>
        <w:spacing w:before="0" w:after="80" w:line="300" w:lineRule="auto"/>
        <w:jc w:val="left"/>
      </w:pPr>
      <w:r>
        <w:rPr>
          <w:rFonts w:ascii="Calibri" w:hAnsi="Calibri" w:eastAsia="等线"/>
          <w:b w:val="0"/>
          <w:color w:val="222222"/>
          <w:sz w:val="22"/>
        </w:rPr>
        <w:t>会标主体由</w:t>
      </w:r>
      <w:r>
        <w:rPr>
          <w:rFonts w:ascii="Calibri" w:hAnsi="Calibri" w:eastAsia="等线"/>
          <w:b/>
          <w:color w:val="222222"/>
          <w:sz w:val="22"/>
        </w:rPr>
        <w:t>21根交织的羽翼</w:t>
      </w:r>
      <w:r>
        <w:rPr>
          <w:rFonts w:ascii="Calibri" w:hAnsi="Calibri" w:eastAsia="等线"/>
          <w:b w:val="0"/>
          <w:color w:val="222222"/>
          <w:sz w:val="22"/>
        </w:rPr>
        <w:t>构成展翅高飞的大鹏形态，象征APEC的21个成员经济体。</w:t>
      </w:r>
    </w:p>
    <w:p>
      <w:pPr>
        <w:numPr>
          <w:ilvl w:val="0"/>
          <w:numId w:val="118"/>
        </w:numPr>
        <w:spacing w:before="0" w:after="80" w:line="300" w:lineRule="auto"/>
        <w:jc w:val="left"/>
      </w:pPr>
      <w:r>
        <w:rPr>
          <w:rFonts w:ascii="Calibri" w:hAnsi="Calibri" w:eastAsia="等线"/>
          <w:b w:val="0"/>
          <w:color w:val="222222"/>
          <w:sz w:val="22"/>
        </w:rPr>
        <w:t>整体寓意“乘大势、共翱翔”，表达各经济体携手共建亚太共同体。</w:t>
      </w:r>
    </w:p>
    <w:tbl>
      <w:tblPr>
        <w:tblW w:type="dxa" w:w="9360"/>
        <w:jc w:val="left"/>
        <w:tblInd w:w="120" w:type="dxa"/>
        <w:tblBorders>
          <w:top w:val="single" w:sz="6" w:space="0" w:color="C7D2E0"/>
          <w:left w:val="single" w:sz="6" w:space="0" w:color="C7D2E0"/>
          <w:bottom w:val="single" w:sz="6" w:space="0" w:color="C7D2E0"/>
          <w:right w:val="single" w:sz="6" w:space="0" w:color="C7D2E0"/>
          <w:insideH w:val="single" w:sz="6" w:space="0" w:color="C7D2E0"/>
          <w:insideV w:val="single" w:sz="6" w:space="0" w:color="C7D2E0"/>
        </w:tblBorders>
        <w:tblLayout w:type="fixed"/>
        <w:tblLook w:firstColumn="1" w:firstRow="1" w:lastColumn="0" w:lastRow="0" w:noHBand="0" w:noVBand="1" w:val="04A0"/>
        <w:tblCellMar>
          <w:top w:w="80" w:type="dxa"/>
          <w:bottom w:w="80" w:type="dxa"/>
          <w:start w:w="120" w:type="dxa"/>
          <w:end w:w="120" w:type="dxa"/>
        </w:tblCellMar>
      </w:tblPr>
      <w:tblGrid>
        <w:gridCol w:w="9360"/>
      </w:tblGrid>
      <w:tr>
        <w:tc>
          <w:tcPr>
            <w:tcW w:type="dxa" w:w="9360"/>
            <w:shd w:val="clear" w:color="auto" w:fill="F4F6F9"/>
            <w:vAlign w:val="center"/>
          </w:tcPr>
          <w:p>
            <w:pPr>
              <w:spacing w:before="0" w:after="0" w:line="288" w:lineRule="auto"/>
              <w:jc w:val="left"/>
            </w:pPr>
            <w:r>
              <w:rPr>
                <w:rFonts w:ascii="Calibri" w:hAnsi="Calibri" w:eastAsia="等线"/>
                <w:b w:val="0"/>
                <w:color w:val="222222"/>
                <w:sz w:val="22"/>
              </w:rPr>
              <w:t>理解小贴士：鲲鹏出自《庄子·逍遥游》，是能从“鲲”化为“鹏”展翅高飞的神鸟。放在别称“鹏城”的深圳格外应景——21根羽翼各代表一个成员，缺一根都不完整。</w:t>
            </w:r>
          </w:p>
        </w:tc>
      </w:tr>
    </w:tbl>
    <w:p>
      <w:pPr>
        <w:spacing w:before="0" w:after="120" w:line="240" w:lineRule="auto"/>
        <w:jc w:val="left"/>
      </w:pPr>
      <w:r/>
    </w:p>
    <w:p>
      <w:pPr>
        <w:pStyle w:val="Heading1"/>
        <w:keepNext/>
        <w:spacing w:before="360" w:after="200" w:line="264" w:lineRule="auto"/>
        <w:jc w:val="left"/>
      </w:pPr>
      <w:r>
        <w:rPr>
          <w:rFonts w:ascii="Calibri" w:hAnsi="Calibri" w:eastAsia="等线"/>
          <w:b/>
          <w:color w:val="2E74B5"/>
          <w:sz w:val="32"/>
        </w:rPr>
        <w:t>六、知识文本 E：深圳城市名片</w:t>
      </w:r>
    </w:p>
    <w:p>
      <w:pPr>
        <w:numPr>
          <w:ilvl w:val="0"/>
          <w:numId w:val="119"/>
        </w:numPr>
        <w:spacing w:before="0" w:after="80" w:line="300" w:lineRule="auto"/>
        <w:jc w:val="left"/>
      </w:pPr>
      <w:r>
        <w:rPr>
          <w:rFonts w:ascii="Calibri" w:hAnsi="Calibri" w:eastAsia="等线"/>
          <w:b/>
          <w:color w:val="222222"/>
          <w:sz w:val="22"/>
        </w:rPr>
        <w:t>位置</w:t>
      </w:r>
      <w:r>
        <w:rPr>
          <w:rFonts w:ascii="Calibri" w:hAnsi="Calibri" w:eastAsia="等线"/>
          <w:b w:val="0"/>
          <w:color w:val="222222"/>
          <w:sz w:val="22"/>
        </w:rPr>
        <w:t>：深圳位于中国广东省南部，与香港相邻。</w:t>
      </w:r>
    </w:p>
    <w:p>
      <w:pPr>
        <w:numPr>
          <w:ilvl w:val="0"/>
          <w:numId w:val="120"/>
        </w:numPr>
        <w:spacing w:before="0" w:after="80" w:line="300" w:lineRule="auto"/>
        <w:jc w:val="left"/>
      </w:pPr>
      <w:r>
        <w:rPr>
          <w:rFonts w:ascii="Calibri" w:hAnsi="Calibri" w:eastAsia="等线"/>
          <w:b/>
          <w:color w:val="222222"/>
          <w:sz w:val="22"/>
        </w:rPr>
        <w:t>身份</w:t>
      </w:r>
      <w:r>
        <w:rPr>
          <w:rFonts w:ascii="Calibri" w:hAnsi="Calibri" w:eastAsia="等线"/>
          <w:b w:val="0"/>
          <w:color w:val="222222"/>
          <w:sz w:val="22"/>
        </w:rPr>
        <w:t>：中国第一个经济特区（1980年设立），是改革开放的前沿城市。</w:t>
      </w:r>
    </w:p>
    <w:p>
      <w:pPr>
        <w:numPr>
          <w:ilvl w:val="0"/>
          <w:numId w:val="121"/>
        </w:numPr>
        <w:spacing w:before="0" w:after="80" w:line="300" w:lineRule="auto"/>
        <w:jc w:val="left"/>
      </w:pPr>
      <w:r>
        <w:rPr>
          <w:rFonts w:ascii="Calibri" w:hAnsi="Calibri" w:eastAsia="等线"/>
          <w:b/>
          <w:color w:val="222222"/>
          <w:sz w:val="22"/>
        </w:rPr>
        <w:t>别称</w:t>
      </w:r>
      <w:r>
        <w:rPr>
          <w:rFonts w:ascii="Calibri" w:hAnsi="Calibri" w:eastAsia="等线"/>
          <w:b w:val="0"/>
          <w:color w:val="222222"/>
          <w:sz w:val="22"/>
        </w:rPr>
        <w:t>：深圳又叫“鹏城”，常被称为“创新之城”。</w:t>
      </w:r>
    </w:p>
    <w:p>
      <w:pPr>
        <w:numPr>
          <w:ilvl w:val="0"/>
          <w:numId w:val="122"/>
        </w:numPr>
        <w:spacing w:before="0" w:after="80" w:line="300" w:lineRule="auto"/>
        <w:jc w:val="left"/>
      </w:pPr>
      <w:r>
        <w:rPr>
          <w:rFonts w:ascii="Calibri" w:hAnsi="Calibri" w:eastAsia="等线"/>
          <w:b/>
          <w:color w:val="222222"/>
          <w:sz w:val="22"/>
        </w:rPr>
        <w:t>产业</w:t>
      </w:r>
      <w:r>
        <w:rPr>
          <w:rFonts w:ascii="Calibri" w:hAnsi="Calibri" w:eastAsia="等线"/>
          <w:b w:val="0"/>
          <w:color w:val="222222"/>
          <w:sz w:val="22"/>
        </w:rPr>
        <w:t>：以科技创新闻名，华为、腾讯、大疆、比亚迪等企业总部或重要基地都设在深圳。</w:t>
      </w:r>
    </w:p>
    <w:tbl>
      <w:tblPr>
        <w:tblW w:type="dxa" w:w="9360"/>
        <w:jc w:val="left"/>
        <w:tblInd w:w="120" w:type="dxa"/>
        <w:tblBorders>
          <w:top w:val="single" w:sz="6" w:space="0" w:color="C7D2E0"/>
          <w:left w:val="single" w:sz="6" w:space="0" w:color="C7D2E0"/>
          <w:bottom w:val="single" w:sz="6" w:space="0" w:color="C7D2E0"/>
          <w:right w:val="single" w:sz="6" w:space="0" w:color="C7D2E0"/>
          <w:insideH w:val="single" w:sz="6" w:space="0" w:color="C7D2E0"/>
          <w:insideV w:val="single" w:sz="6" w:space="0" w:color="C7D2E0"/>
        </w:tblBorders>
        <w:tblLayout w:type="fixed"/>
        <w:tblLook w:firstColumn="1" w:firstRow="1" w:lastColumn="0" w:lastRow="0" w:noHBand="0" w:noVBand="1" w:val="04A0"/>
        <w:tblCellMar>
          <w:top w:w="80" w:type="dxa"/>
          <w:bottom w:w="80" w:type="dxa"/>
          <w:start w:w="120" w:type="dxa"/>
          <w:end w:w="120" w:type="dxa"/>
        </w:tblCellMar>
      </w:tblPr>
      <w:tblGrid>
        <w:gridCol w:w="9360"/>
      </w:tblGrid>
      <w:tr>
        <w:tc>
          <w:tcPr>
            <w:tcW w:type="dxa" w:w="9360"/>
            <w:shd w:val="clear" w:color="auto" w:fill="F4F6F9"/>
            <w:vAlign w:val="center"/>
          </w:tcPr>
          <w:p>
            <w:pPr>
              <w:spacing w:before="0" w:after="0" w:line="288" w:lineRule="auto"/>
              <w:jc w:val="left"/>
            </w:pPr>
            <w:r>
              <w:rPr>
                <w:rFonts w:ascii="Calibri" w:hAnsi="Calibri" w:eastAsia="等线"/>
                <w:b w:val="0"/>
                <w:color w:val="222222"/>
                <w:sz w:val="22"/>
              </w:rPr>
              <w:t>为什么选深圳？作为改革开放的窗口和创新高地，深圳本身就是“开放、创新、合作”的生动样本——这也是它成为2026 APEC举办城市的原因之一。</w:t>
            </w:r>
          </w:p>
        </w:tc>
      </w:tr>
    </w:tbl>
    <w:p>
      <w:pPr>
        <w:spacing w:before="0" w:after="120" w:line="240" w:lineRule="auto"/>
        <w:jc w:val="left"/>
      </w:pPr>
      <w:r/>
    </w:p>
    <w:p>
      <w:pPr>
        <w:pStyle w:val="Heading1"/>
        <w:keepNext/>
        <w:spacing w:before="360" w:after="200" w:line="264" w:lineRule="auto"/>
        <w:jc w:val="left"/>
      </w:pPr>
      <w:r>
        <w:rPr>
          <w:rFonts w:ascii="Calibri" w:hAnsi="Calibri" w:eastAsia="等线"/>
          <w:b/>
          <w:color w:val="2E74B5"/>
          <w:sz w:val="32"/>
        </w:rPr>
        <w:t>七、知识文本 F：高频问题快查（Q&amp;A）</w:t>
      </w:r>
    </w:p>
    <w:tbl>
      <w:tblPr>
        <w:tblW w:type="dxa" w:w="9360"/>
        <w:jc w:val="left"/>
        <w:tblInd w:w="120" w:type="dxa"/>
        <w:tblBorders>
          <w:top w:val="single" w:sz="4" w:space="0" w:color="C9D2DC"/>
          <w:left w:val="single" w:sz="4" w:space="0" w:color="C9D2DC"/>
          <w:bottom w:val="single" w:sz="4" w:space="0" w:color="C9D2DC"/>
          <w:right w:val="single" w:sz="4" w:space="0" w:color="C9D2DC"/>
          <w:insideH w:val="single" w:sz="4" w:space="0" w:color="C9D2DC"/>
          <w:insideV w:val="single" w:sz="4" w:space="0" w:color="C9D2DC"/>
        </w:tblBorders>
        <w:tblLayout w:type="fixed"/>
        <w:tblLook w:firstColumn="1" w:firstRow="1" w:lastColumn="0" w:lastRow="0" w:noHBand="0" w:noVBand="1" w:val="04A0"/>
        <w:tblCellMar>
          <w:top w:w="80" w:type="dxa"/>
          <w:bottom w:w="80" w:type="dxa"/>
          <w:start w:w="120" w:type="dxa"/>
          <w:end w:w="120" w:type="dxa"/>
        </w:tblCellMar>
      </w:tblPr>
      <w:tblGrid>
        <w:gridCol w:w="3240"/>
        <w:gridCol w:w="6120"/>
      </w:tblGrid>
      <w:tr>
        <w:trPr>
          <w:tblHeader/>
        </w:trPr>
        <w:tc>
          <w:tcPr>
            <w:tcW w:type="dxa" w:w="3240"/>
            <w:shd w:val="clear" w:color="auto" w:fill="E8EEF5"/>
            <w:vAlign w:val="center"/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等线"/>
                <w:b/>
                <w:color w:val="1F3A5F"/>
                <w:sz w:val="22"/>
              </w:rPr>
              <w:t>常见问题</w:t>
            </w:r>
          </w:p>
        </w:tc>
        <w:tc>
          <w:tcPr>
            <w:tcW w:type="dxa" w:w="6120"/>
            <w:shd w:val="clear" w:color="auto" w:fill="E8EEF5"/>
            <w:vAlign w:val="center"/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等线"/>
                <w:b/>
                <w:color w:val="1F3A5F"/>
                <w:sz w:val="22"/>
              </w:rPr>
              <w:t>一句话标准答案</w:t>
            </w:r>
          </w:p>
        </w:tc>
      </w:tr>
      <w:tr>
        <w:tc>
          <w:tcPr>
            <w:tcW w:type="dxa" w:w="3240"/>
            <w:vAlign w:val="center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等线"/>
                <w:b w:val="0"/>
                <w:sz w:val="22"/>
              </w:rPr>
              <w:t>APEC的中文全称是什么？</w:t>
            </w:r>
          </w:p>
        </w:tc>
        <w:tc>
          <w:tcPr>
            <w:tcW w:type="dxa" w:w="6120"/>
            <w:vAlign w:val="center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等线"/>
                <w:b w:val="0"/>
                <w:sz w:val="22"/>
              </w:rPr>
              <w:t>亚太经济合作组织（Asia-Pacific Economic Cooperation）。</w:t>
            </w:r>
          </w:p>
        </w:tc>
      </w:tr>
      <w:tr>
        <w:tc>
          <w:tcPr>
            <w:tcW w:type="dxa" w:w="3240"/>
            <w:vAlign w:val="center"/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等线"/>
                <w:b w:val="0"/>
                <w:sz w:val="22"/>
              </w:rPr>
              <w:t>APEC成立于什么时候？</w:t>
            </w:r>
          </w:p>
        </w:tc>
        <w:tc>
          <w:tcPr>
            <w:tcW w:type="dxa" w:w="6120"/>
            <w:vAlign w:val="center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等线"/>
                <w:b w:val="0"/>
                <w:sz w:val="22"/>
              </w:rPr>
              <w:t>1989年，首届部长级会议在澳大利亚堪培拉举行。</w:t>
            </w:r>
          </w:p>
        </w:tc>
      </w:tr>
      <w:tr>
        <w:tc>
          <w:tcPr>
            <w:tcW w:type="dxa" w:w="3240"/>
            <w:vAlign w:val="center"/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等线"/>
                <w:b w:val="0"/>
                <w:sz w:val="22"/>
              </w:rPr>
              <w:t>APEC有多少个成员？</w:t>
            </w:r>
          </w:p>
        </w:tc>
        <w:tc>
          <w:tcPr>
            <w:tcW w:type="dxa" w:w="6120"/>
            <w:vAlign w:val="center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等线"/>
                <w:b w:val="0"/>
                <w:sz w:val="22"/>
              </w:rPr>
              <w:t>21个成员经济体。</w:t>
            </w:r>
          </w:p>
        </w:tc>
      </w:tr>
      <w:tr>
        <w:tc>
          <w:tcPr>
            <w:tcW w:type="dxa" w:w="3240"/>
            <w:vAlign w:val="center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等线"/>
                <w:b w:val="0"/>
                <w:sz w:val="22"/>
              </w:rPr>
              <w:t>APEC的成员都是主权国家吗？</w:t>
            </w:r>
          </w:p>
        </w:tc>
        <w:tc>
          <w:tcPr>
            <w:tcW w:type="dxa" w:w="6120"/>
            <w:vAlign w:val="center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等线"/>
                <w:b w:val="0"/>
                <w:sz w:val="22"/>
              </w:rPr>
              <w:t>不是，它以“经济体”为单位参加。</w:t>
            </w:r>
          </w:p>
        </w:tc>
      </w:tr>
      <w:tr>
        <w:tc>
          <w:tcPr>
            <w:tcW w:type="dxa" w:w="3240"/>
            <w:vAlign w:val="center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等线"/>
                <w:b w:val="0"/>
                <w:sz w:val="22"/>
              </w:rPr>
              <w:t>2026年APEC领导人非正式会议在哪里举行？</w:t>
            </w:r>
          </w:p>
        </w:tc>
        <w:tc>
          <w:tcPr>
            <w:tcW w:type="dxa" w:w="6120"/>
            <w:vAlign w:val="center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等线"/>
                <w:b w:val="0"/>
                <w:sz w:val="22"/>
              </w:rPr>
              <w:t>中国广东深圳，2026年11月18日至19日。</w:t>
            </w:r>
          </w:p>
        </w:tc>
      </w:tr>
      <w:tr>
        <w:tc>
          <w:tcPr>
            <w:tcW w:type="dxa" w:w="3240"/>
            <w:vAlign w:val="center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等线"/>
                <w:b w:val="0"/>
                <w:sz w:val="22"/>
              </w:rPr>
              <w:t>2026年APEC主题是什么？</w:t>
            </w:r>
          </w:p>
        </w:tc>
        <w:tc>
          <w:tcPr>
            <w:tcW w:type="dxa" w:w="6120"/>
            <w:vAlign w:val="center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等线"/>
                <w:b w:val="0"/>
                <w:sz w:val="22"/>
              </w:rPr>
              <w:t>建设亚太共同体，促进共同繁荣。</w:t>
            </w:r>
          </w:p>
        </w:tc>
      </w:tr>
      <w:tr>
        <w:tc>
          <w:tcPr>
            <w:tcW w:type="dxa" w:w="3240"/>
            <w:vAlign w:val="center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等线"/>
                <w:b w:val="0"/>
                <w:sz w:val="22"/>
              </w:rPr>
              <w:t>2026年APEC三大优先领域是什么？</w:t>
            </w:r>
          </w:p>
        </w:tc>
        <w:tc>
          <w:tcPr>
            <w:tcW w:type="dxa" w:w="6120"/>
            <w:vAlign w:val="center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等线"/>
                <w:b w:val="0"/>
                <w:sz w:val="22"/>
              </w:rPr>
              <w:t>开放、创新、合作。</w:t>
            </w:r>
          </w:p>
        </w:tc>
      </w:tr>
      <w:tr>
        <w:tc>
          <w:tcPr>
            <w:tcW w:type="dxa" w:w="3240"/>
            <w:vAlign w:val="center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等线"/>
                <w:b w:val="0"/>
                <w:sz w:val="22"/>
              </w:rPr>
              <w:t>会标上的大鸟是什么？为什么是它？</w:t>
            </w:r>
          </w:p>
        </w:tc>
        <w:tc>
          <w:tcPr>
            <w:tcW w:type="dxa" w:w="6120"/>
            <w:vAlign w:val="center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等线"/>
                <w:b w:val="0"/>
                <w:sz w:val="22"/>
              </w:rPr>
              <w:t>鲲鹏；深圳别称“鹏城”，21根羽翼代表21个成员经济体。</w:t>
            </w:r>
          </w:p>
        </w:tc>
      </w:tr>
    </w:tbl>
    <w:p>
      <w:pPr>
        <w:spacing w:before="0" w:after="120" w:line="240" w:lineRule="auto"/>
        <w:jc w:val="left"/>
      </w:pPr>
      <w:r>
        <w:rPr>
          <w:rFonts w:ascii="Calibri" w:hAnsi="Calibri" w:eastAsia="等线"/>
          <w:sz w:val="4"/>
        </w:rPr>
      </w:r>
    </w:p>
    <w:p>
      <w:pPr>
        <w:pStyle w:val="Heading1"/>
        <w:keepNext/>
        <w:spacing w:before="360" w:after="200" w:line="264" w:lineRule="auto"/>
        <w:jc w:val="left"/>
      </w:pPr>
      <w:r>
        <w:rPr>
          <w:rFonts w:ascii="Calibri" w:hAnsi="Calibri" w:eastAsia="等线"/>
          <w:b/>
          <w:color w:val="2E74B5"/>
          <w:sz w:val="32"/>
        </w:rPr>
        <w:t>八、进阶：把第3课数据变成“数据专家”</w:t>
      </w:r>
    </w:p>
    <w:p>
      <w:pPr>
        <w:numPr>
          <w:ilvl w:val="0"/>
          <w:numId w:val="123"/>
        </w:numPr>
        <w:spacing w:before="0" w:after="80" w:line="300" w:lineRule="auto"/>
        <w:jc w:val="left"/>
      </w:pPr>
      <w:r>
        <w:rPr>
          <w:rFonts w:ascii="Calibri" w:hAnsi="Calibri" w:eastAsia="等线"/>
          <w:b w:val="0"/>
          <w:color w:val="222222"/>
          <w:sz w:val="22"/>
        </w:rPr>
        <w:t>把第3课整理的21个经济体GDP/人口/贸易额表上传到知识库（Excel/CSV或文本均可）。</w:t>
      </w:r>
    </w:p>
    <w:p>
      <w:pPr>
        <w:numPr>
          <w:ilvl w:val="0"/>
          <w:numId w:val="124"/>
        </w:numPr>
        <w:spacing w:before="0" w:after="80" w:line="300" w:lineRule="auto"/>
        <w:jc w:val="left"/>
      </w:pPr>
      <w:r>
        <w:rPr>
          <w:rFonts w:ascii="Calibri" w:hAnsi="Calibri" w:eastAsia="等线"/>
          <w:b w:val="0"/>
          <w:color w:val="222222"/>
          <w:sz w:val="22"/>
        </w:rPr>
        <w:t>在规则里加一条：“回答数据问题时，先给出数值，再注明来源（如第3课APEC数据表）。”</w:t>
      </w:r>
    </w:p>
    <w:p>
      <w:pPr>
        <w:numPr>
          <w:ilvl w:val="0"/>
          <w:numId w:val="125"/>
        </w:numPr>
        <w:spacing w:before="0" w:after="80" w:line="300" w:lineRule="auto"/>
        <w:jc w:val="left"/>
      </w:pPr>
      <w:r>
        <w:rPr>
          <w:rFonts w:ascii="Calibri" w:hAnsi="Calibri" w:eastAsia="等线"/>
          <w:b w:val="0"/>
          <w:color w:val="222222"/>
          <w:sz w:val="22"/>
        </w:rPr>
        <w:t>测试题示例：“APEC哪个经济体GDP最高？”“中国GDP在21个经济体中排第几？”</w:t>
      </w:r>
    </w:p>
    <w:p>
      <w:pPr>
        <w:spacing w:before="280" w:after="0" w:line="300" w:lineRule="auto"/>
        <w:jc w:val="left"/>
      </w:pPr>
      <w:r>
        <w:rPr>
          <w:rFonts w:ascii="Calibri" w:hAnsi="Calibri" w:eastAsia="等线"/>
          <w:b w:val="0"/>
          <w:color w:val="595F66"/>
          <w:sz w:val="18"/>
        </w:rPr>
        <w:t>资料说明：本素材据中国外交部与2026APEC中国年官方网站（apec2026.cn）等公开信息整理，供课堂学习核对。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6" w:footer="70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360" w:val="right"/>
      </w:tabs>
      <w:spacing w:before="0" w:after="0" w:line="240" w:lineRule="auto"/>
      <w:jc w:val="left"/>
    </w:pPr>
    <w:r>
      <w:rPr>
        <w:rFonts w:ascii="Calibri" w:hAnsi="Calibri" w:eastAsia="等线"/>
        <w:color w:val="595F66"/>
        <w:sz w:val="18"/>
      </w:rPr>
      <w:t xml:space="preserve">第5课 · 学生参考2：APEC知识库素材    </w:t>
    </w:r>
    <w:r>
      <w:rPr>
        <w:rFonts w:ascii="Calibri" w:hAnsi="Calibri" w:eastAsia="等线"/>
        <w:color w:val="595F66"/>
        <w:sz w:val="18"/>
      </w:rPr>
      <w:tab/>
      <w:t>第</w:t>
    </w:r>
    <w:r>
      <w:rPr>
        <w:rFonts w:ascii="Calibri" w:hAnsi="Calibri" w:eastAsia="等线"/>
        <w:color w:val="595F66"/>
        <w:sz w:val="18"/>
      </w:rPr>
      <w:fldChar w:fldCharType="begin"/>
    </w:r>
    <w:r>
      <w:rPr>
        <w:rFonts w:ascii="Calibri" w:hAnsi="Calibri" w:eastAsia="等线"/>
        <w:color w:val="595F66"/>
        <w:sz w:val="18"/>
      </w:rPr>
      <w:instrText xml:space="preserve"> PAGE </w:instrText>
    </w:r>
    <w:r>
      <w:rPr>
        <w:rFonts w:ascii="Calibri" w:hAnsi="Calibri" w:eastAsia="等线"/>
        <w:color w:val="595F66"/>
        <w:sz w:val="18"/>
      </w:rPr>
      <w:fldChar w:fldCharType="end"/>
    </w:r>
    <w:r>
      <w:rPr>
        <w:rFonts w:ascii="Calibri" w:hAnsi="Calibri" w:eastAsia="等线"/>
        <w:color w:val="595F66"/>
        <w:sz w:val="18"/>
      </w:rPr>
      <w:t>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multiLevelType w:val="hybridMultilevel"/>
    <w:lvl w:ilvl="0">
      <w:start w:val="1"/>
      <w:numFmt w:val="bullet"/>
      <w:lvlText w:val="•"/>
      <w:lvlJc w:val="left"/>
      <w:pPr>
        <w:ind w:left="540" w:hanging="270"/>
      </w:pPr>
      <w:rPr>
        <w:rFonts w:ascii="Arial" w:hAnsi="Arial" w:hint="default"/>
        <w:sz w:val="22"/>
      </w:rPr>
    </w:lvl>
    <w:lvl w:ilvl="1">
      <w:start w:val="1"/>
      <w:numFmt w:val="bullet"/>
      <w:lvlText w:val="•"/>
      <w:lvlJc w:val="left"/>
      <w:pPr>
        <w:ind w:left="900" w:hanging="270"/>
      </w:pPr>
      <w:rPr>
        <w:rFonts w:ascii="Arial" w:hAnsi="Arial" w:hint="default"/>
        <w:sz w:val="22"/>
      </w:rPr>
    </w:lvl>
    <w:lvl w:ilvl="2">
      <w:start w:val="1"/>
      <w:numFmt w:val="bullet"/>
      <w:lvlText w:val="•"/>
      <w:lvlJc w:val="left"/>
      <w:pPr>
        <w:ind w:left="1260" w:hanging="270"/>
      </w:pPr>
      <w:rPr>
        <w:rFonts w:ascii="Arial" w:hAnsi="Arial" w:hint="default"/>
        <w:sz w:val="22"/>
      </w:rPr>
    </w:lvl>
    <w:lvl w:ilvl="3">
      <w:start w:val="1"/>
      <w:numFmt w:val="bullet"/>
      <w:lvlText w:val="•"/>
      <w:lvlJc w:val="left"/>
      <w:pPr>
        <w:ind w:left="1620" w:hanging="270"/>
      </w:pPr>
      <w:rPr>
        <w:rFonts w:ascii="Arial" w:hAnsi="Arial" w:hint="default"/>
        <w:sz w:val="22"/>
      </w:rPr>
    </w:lvl>
    <w:lvl w:ilvl="4">
      <w:start w:val="1"/>
      <w:numFmt w:val="bullet"/>
      <w:lvlText w:val="•"/>
      <w:lvlJc w:val="left"/>
      <w:pPr>
        <w:ind w:left="1980" w:hanging="270"/>
      </w:pPr>
      <w:rPr>
        <w:rFonts w:ascii="Arial" w:hAnsi="Arial" w:hint="default"/>
        <w:sz w:val="22"/>
      </w:rPr>
    </w:lvl>
    <w:lvl w:ilvl="5">
      <w:start w:val="1"/>
      <w:numFmt w:val="bullet"/>
      <w:lvlText w:val="•"/>
      <w:lvlJc w:val="left"/>
      <w:pPr>
        <w:ind w:left="2340" w:hanging="270"/>
      </w:pPr>
      <w:rPr>
        <w:rFonts w:ascii="Arial" w:hAnsi="Arial" w:hint="default"/>
        <w:sz w:val="22"/>
      </w:rPr>
    </w:lvl>
    <w:lvl w:ilvl="6">
      <w:start w:val="1"/>
      <w:numFmt w:val="bullet"/>
      <w:lvlText w:val="•"/>
      <w:lvlJc w:val="left"/>
      <w:pPr>
        <w:ind w:left="2700" w:hanging="270"/>
      </w:pPr>
      <w:rPr>
        <w:rFonts w:ascii="Arial" w:hAnsi="Arial" w:hint="default"/>
        <w:sz w:val="22"/>
      </w:rPr>
    </w:lvl>
    <w:lvl w:ilvl="7">
      <w:start w:val="1"/>
      <w:numFmt w:val="bullet"/>
      <w:lvlText w:val="•"/>
      <w:lvlJc w:val="left"/>
      <w:pPr>
        <w:ind w:left="3060" w:hanging="270"/>
      </w:pPr>
      <w:rPr>
        <w:rFonts w:ascii="Arial" w:hAnsi="Arial" w:hint="default"/>
        <w:sz w:val="22"/>
      </w:rPr>
    </w:lvl>
    <w:lvl w:ilvl="8">
      <w:start w:val="1"/>
      <w:numFmt w:val="bullet"/>
      <w:lvlText w:val="•"/>
      <w:lvlJc w:val="left"/>
      <w:pPr>
        <w:ind w:left="3420" w:hanging="270"/>
      </w:pPr>
      <w:rPr>
        <w:rFonts w:ascii="Arial" w:hAnsi="Arial" w:hint="default"/>
        <w:sz w:val="22"/>
      </w:rPr>
    </w:lvl>
  </w:abstractNum>
  <w:abstractNum w:abstractNumId="10">
    <w:multiLevelType w:val="hybridMultilevel"/>
    <w:lvl w:ilvl="0">
      <w:start w:val="1"/>
      <w:numFmt w:val="decimal"/>
      <w:lvlText w:val="%1."/>
      <w:lvlJc w:val="left"/>
      <w:pPr>
        <w:ind w:left="540" w:hanging="270"/>
      </w:pPr>
      <w:rPr>
        <w:rFonts w:ascii="Arial" w:hAnsi="Arial" w:hint="default"/>
        <w:sz w:val="22"/>
      </w:rPr>
    </w:lvl>
    <w:lvl w:ilvl="1">
      <w:start w:val="1"/>
      <w:numFmt w:val="decimal"/>
      <w:lvlText w:val="%2."/>
      <w:lvlJc w:val="left"/>
      <w:pPr>
        <w:ind w:left="900" w:hanging="270"/>
      </w:pPr>
      <w:rPr>
        <w:rFonts w:ascii="Arial" w:hAnsi="Arial" w:hint="default"/>
        <w:sz w:val="22"/>
      </w:rPr>
    </w:lvl>
    <w:lvl w:ilvl="2">
      <w:start w:val="1"/>
      <w:numFmt w:val="decimal"/>
      <w:lvlText w:val="%3."/>
      <w:lvlJc w:val="left"/>
      <w:pPr>
        <w:ind w:left="1260" w:hanging="270"/>
      </w:pPr>
      <w:rPr>
        <w:rFonts w:ascii="Arial" w:hAnsi="Arial" w:hint="default"/>
        <w:sz w:val="22"/>
      </w:rPr>
    </w:lvl>
    <w:lvl w:ilvl="3">
      <w:start w:val="1"/>
      <w:numFmt w:val="decimal"/>
      <w:lvlText w:val="%4."/>
      <w:lvlJc w:val="left"/>
      <w:pPr>
        <w:ind w:left="1620" w:hanging="270"/>
      </w:pPr>
      <w:rPr>
        <w:rFonts w:ascii="Arial" w:hAnsi="Arial" w:hint="default"/>
        <w:sz w:val="22"/>
      </w:rPr>
    </w:lvl>
    <w:lvl w:ilvl="4">
      <w:start w:val="1"/>
      <w:numFmt w:val="decimal"/>
      <w:lvlText w:val="%5."/>
      <w:lvlJc w:val="left"/>
      <w:pPr>
        <w:ind w:left="1980" w:hanging="270"/>
      </w:pPr>
      <w:rPr>
        <w:rFonts w:ascii="Arial" w:hAnsi="Arial" w:hint="default"/>
        <w:sz w:val="22"/>
      </w:rPr>
    </w:lvl>
    <w:lvl w:ilvl="5">
      <w:start w:val="1"/>
      <w:numFmt w:val="decimal"/>
      <w:lvlText w:val="%6."/>
      <w:lvlJc w:val="left"/>
      <w:pPr>
        <w:ind w:left="2340" w:hanging="270"/>
      </w:pPr>
      <w:rPr>
        <w:rFonts w:ascii="Arial" w:hAnsi="Arial" w:hint="default"/>
        <w:sz w:val="22"/>
      </w:rPr>
    </w:lvl>
    <w:lvl w:ilvl="6">
      <w:start w:val="1"/>
      <w:numFmt w:val="decimal"/>
      <w:lvlText w:val="%7."/>
      <w:lvlJc w:val="left"/>
      <w:pPr>
        <w:ind w:left="2700" w:hanging="270"/>
      </w:pPr>
      <w:rPr>
        <w:rFonts w:ascii="Arial" w:hAnsi="Arial" w:hint="default"/>
        <w:sz w:val="22"/>
      </w:rPr>
    </w:lvl>
    <w:lvl w:ilvl="7">
      <w:start w:val="1"/>
      <w:numFmt w:val="decimal"/>
      <w:lvlText w:val="%8."/>
      <w:lvlJc w:val="left"/>
      <w:pPr>
        <w:ind w:left="3060" w:hanging="270"/>
      </w:pPr>
      <w:rPr>
        <w:rFonts w:ascii="Arial" w:hAnsi="Arial" w:hint="default"/>
        <w:sz w:val="22"/>
      </w:rPr>
    </w:lvl>
    <w:lvl w:ilvl="8">
      <w:start w:val="1"/>
      <w:numFmt w:val="decimal"/>
      <w:lvlText w:val="%9."/>
      <w:lvlJc w:val="left"/>
      <w:pPr>
        <w:ind w:left="3420" w:hanging="270"/>
      </w:pPr>
      <w:rPr>
        <w:rFonts w:ascii="Arial" w:hAnsi="Arial" w:hint="default"/>
        <w:sz w:val="22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">
    <w:abstractNumId w:val="10"/>
    <w:lvlOverride w:ilvl="0">
      <w:startOverride w:val="1"/>
    </w:lvlOverride>
  </w:num>
  <w:num w:numId="101">
    <w:abstractNumId w:val="9"/>
  </w:num>
  <w:num w:numId="102">
    <w:abstractNumId w:val="9"/>
  </w:num>
  <w:num w:numId="103">
    <w:abstractNumId w:val="9"/>
  </w:num>
  <w:num w:numId="104">
    <w:abstractNumId w:val="9"/>
  </w:num>
  <w:num w:numId="105">
    <w:abstractNumId w:val="9"/>
  </w:num>
  <w:num w:numId="106">
    <w:abstractNumId w:val="10"/>
    <w:lvlOverride w:ilvl="0">
      <w:startOverride w:val="1"/>
    </w:lvlOverride>
  </w:num>
  <w:num w:numId="107">
    <w:abstractNumId w:val="9"/>
  </w:num>
  <w:num w:numId="108">
    <w:abstractNumId w:val="9"/>
  </w:num>
  <w:num w:numId="109">
    <w:abstractNumId w:val="9"/>
  </w:num>
  <w:num w:numId="110">
    <w:abstractNumId w:val="9"/>
  </w:num>
  <w:num w:numId="111">
    <w:abstractNumId w:val="9"/>
  </w:num>
  <w:num w:numId="112">
    <w:abstractNumId w:val="9"/>
  </w:num>
  <w:num w:numId="113">
    <w:abstractNumId w:val="9"/>
  </w:num>
  <w:num w:numId="114">
    <w:abstractNumId w:val="9"/>
  </w:num>
  <w:num w:numId="115">
    <w:abstractNumId w:val="9"/>
  </w:num>
  <w:num w:numId="116">
    <w:abstractNumId w:val="9"/>
  </w:num>
  <w:num w:numId="117">
    <w:abstractNumId w:val="9"/>
  </w:num>
  <w:num w:numId="118">
    <w:abstractNumId w:val="9"/>
  </w:num>
  <w:num w:numId="119">
    <w:abstractNumId w:val="9"/>
  </w:num>
  <w:num w:numId="120">
    <w:abstractNumId w:val="9"/>
  </w:num>
  <w:num w:numId="121">
    <w:abstractNumId w:val="9"/>
  </w:num>
  <w:num w:numId="122">
    <w:abstractNumId w:val="9"/>
  </w:num>
  <w:num w:numId="123">
    <w:abstractNumId w:val="9"/>
  </w:num>
  <w:num w:numId="124">
    <w:abstractNumId w:val="9"/>
  </w:num>
  <w:num w:numId="12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等线"/>
      <w:color w:val="2222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264" w:lineRule="auto"/>
      <w:outlineLvl w:val="0"/>
    </w:pPr>
    <w:rPr>
      <w:rFonts w:asciiTheme="majorHAnsi" w:eastAsiaTheme="majorEastAsia" w:hAnsiTheme="majorHAnsi" w:cstheme="majorBidi" w:ascii="Calibri" w:hAnsi="Calibri" w:eastAsia="等线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264" w:lineRule="auto"/>
      <w:outlineLvl w:val="1"/>
    </w:pPr>
    <w:rPr>
      <w:rFonts w:asciiTheme="majorHAnsi" w:eastAsiaTheme="majorEastAsia" w:hAnsiTheme="majorHAnsi" w:cstheme="majorBidi" w:ascii="Calibri" w:hAnsi="Calibri" w:eastAsia="等线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264" w:lineRule="auto"/>
      <w:outlineLvl w:val="2"/>
    </w:pPr>
    <w:rPr>
      <w:rFonts w:asciiTheme="majorHAnsi" w:eastAsiaTheme="majorEastAsia" w:hAnsiTheme="majorHAnsi" w:cstheme="majorBidi" w:ascii="Calibri" w:hAnsi="Calibri" w:eastAsia="等线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