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Northstar Dental Group — Investment Thesis (SYNTHETIC DEMONSTRATION DOCUMENT)</w:t>
      </w:r>
    </w:p>
    <w:p>
      <w:r>
        <w:t xml:space="preserve">Northstar Dental Group operates 42 general dentistry clinics across Ontario and Quebec, assembled through a roll-up strategy between 2019 and 2024.</w:t>
      </w:r>
    </w:p>
    <w:p>
      <w:r>
        <w:t xml:space="preserve">Thesis: Northstar can grow EBITDA from C$38M to C$60M within four years through same-clinic growth, disciplined pricing, and continued tuck-in acquisitions.</w:t>
      </w:r>
    </w:p>
    <w:p>
      <w:r>
        <w:t xml:space="preserve">Patient retention is strong: management reports annual patient churn below 5%.</w:t>
      </w:r>
    </w:p>
    <w:p>
      <w:r>
        <w:t xml:space="preserve">Clinics have spare chair capacity, so same-clinic visit volume can grow 6% per year without hiring additional hygienists.</w:t>
      </w:r>
    </w:p>
    <w:p>
      <w:r>
        <w:t xml:space="preserve">Centralized scheduling, introduced in 2023, has reduced appointment cancellations and no-shows across the network.</w:t>
      </w:r>
    </w:p>
    <w:p>
      <w:r>
        <w:t xml:space="preserve">Fee increases of 3-4% per year can be implemented without measurable patient loss, because most revenue is reimbursed by insurers.</w:t>
      </w:r>
    </w:p>
    <w:p>
      <w:r>
        <w:t xml:space="preserve">Staffing is stable; hygienist turnover is in line with the Ontario industry average.</w:t>
      </w:r>
    </w:p>
    <w:p>
      <w:r>
        <w:t xml:space="preserve">Key risks to test: hygienist labour availability, insurer fee-guide changes, and integration of recently acquired clinics.</w:t>
      </w:r>
    </w:p>
    <w:p>
      <w:r>
        <w:t xml:space="preserve">Scope: clinics owned as of 31 December 2024. Clinics acquired after 2024 are excluded from this diligence scope.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Dental Group investment thesis (synthetic)</dc:title>
  <dc:creator>Diligence Live demo fixture</dc:creator>
  <dc:description>Fictional demonstration document. No real company is represented.</dc:description>
  <cp:lastModifiedBy>Un-named</cp:lastModifiedBy>
  <cp:revision>1</cp:revision>
  <dcterms:created xsi:type="dcterms:W3CDTF">2026-10-24T04:39:19.467Z</dcterms:created>
  <dcterms:modified xsi:type="dcterms:W3CDTF">2026-10-24T04:39:19.467Z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