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A7D27" w14:textId="5104AEE3" w:rsidR="00D918FF" w:rsidRDefault="005C1D71">
      <w:pPr>
        <w:rPr>
          <w:b/>
          <w:bCs/>
        </w:rPr>
      </w:pPr>
      <w:commentRangeStart w:id="0"/>
      <w:r w:rsidRPr="005C1D71">
        <w:rPr>
          <w:b/>
          <w:bCs/>
        </w:rPr>
        <w:t>What are the determinants of electoral reform?</w:t>
      </w:r>
      <w:commentRangeEnd w:id="0"/>
      <w:r w:rsidR="00C118C0">
        <w:rPr>
          <w:rStyle w:val="Verwijzingopmerking"/>
        </w:rPr>
        <w:commentReference w:id="0"/>
      </w:r>
    </w:p>
    <w:p w14:paraId="1F436A09" w14:textId="77777777" w:rsidR="00964A8A" w:rsidRDefault="00964A8A">
      <w:pPr>
        <w:rPr>
          <w:b/>
          <w:bCs/>
        </w:rPr>
      </w:pPr>
    </w:p>
    <w:p w14:paraId="6E5E2E7C" w14:textId="55C9BBC8" w:rsidR="00964A8A" w:rsidRPr="00964A8A" w:rsidRDefault="00964A8A">
      <w:r>
        <w:t>In this essay, I argue that the determinants of electoral reform are the benefits that a certain electoral system brings to incumbents. If the incumbent party expects to benefit from changing the electoral system, they are likely to change the electoral rules. First, I explain why majoritarian systems benefit big parties and proportional representation (PR) systems benefit smaller parties. Then, I explain the endogeneity problem with researching the effects of electoral systems on party systems as the parties choose the electoral system to benefit them. Then, I use this logic to explain why incumbents in the early 19</w:t>
      </w:r>
      <w:r w:rsidRPr="00964A8A">
        <w:rPr>
          <w:vertAlign w:val="superscript"/>
        </w:rPr>
        <w:t>th</w:t>
      </w:r>
      <w:r>
        <w:t xml:space="preserve"> century in Europe adopted PR</w:t>
      </w:r>
      <w:r w:rsidR="006D48FD">
        <w:t xml:space="preserve">, </w:t>
      </w:r>
      <w:r w:rsidR="00AA22CB">
        <w:t xml:space="preserve">by explaining both an argument about entering socialist parties who forced incumbents to adopt PR, and an argument of why </w:t>
      </w:r>
      <w:proofErr w:type="spellStart"/>
      <w:r w:rsidR="00AA22CB">
        <w:t>protocorporatist</w:t>
      </w:r>
      <w:proofErr w:type="spellEnd"/>
      <w:r w:rsidR="00AA22CB">
        <w:t xml:space="preserve"> societies used PR to allow parties to stay representing certain economic interests. Finally, I will generalize into a general model of electoral change before explaining why electoral change is surprisingly unlikely as parties are uncertain about the future.</w:t>
      </w:r>
    </w:p>
    <w:p w14:paraId="799A5DB9" w14:textId="77777777" w:rsidR="00F01E0F" w:rsidRDefault="00F01E0F">
      <w:pPr>
        <w:rPr>
          <w:b/>
          <w:bCs/>
        </w:rPr>
      </w:pPr>
    </w:p>
    <w:p w14:paraId="5517CBE6" w14:textId="6A585F7C" w:rsidR="00F01E0F" w:rsidRDefault="00F01E0F">
      <w:pPr>
        <w:rPr>
          <w:i/>
          <w:iCs/>
        </w:rPr>
      </w:pPr>
      <w:r>
        <w:rPr>
          <w:i/>
          <w:iCs/>
        </w:rPr>
        <w:t>Endogeneity</w:t>
      </w:r>
    </w:p>
    <w:p w14:paraId="4284EF88" w14:textId="77777777" w:rsidR="006434C3" w:rsidRDefault="006434C3">
      <w:pPr>
        <w:rPr>
          <w:i/>
          <w:iCs/>
        </w:rPr>
      </w:pPr>
    </w:p>
    <w:p w14:paraId="167AE484" w14:textId="45DF5ED5" w:rsidR="006434C3" w:rsidRPr="006434C3" w:rsidRDefault="006434C3">
      <w:commentRangeStart w:id="1"/>
      <w:r>
        <w:t>There are majoritarian and proportional electoral systems. A majoritarian electoral system is one in which the candidates or parties that win the most votes win. The most commonly used majoritarian system is the single-member district plurality system (SMDP). In this system, whoever gets the most votes wins a certain district. A proportional electoral system is one in which the legislature proportionally reflects the vote. The most common proportional system is a party list system in which voters vote for a certain party.</w:t>
      </w:r>
      <w:commentRangeEnd w:id="1"/>
      <w:r w:rsidR="002A750C">
        <w:rPr>
          <w:rStyle w:val="Verwijzingopmerking"/>
        </w:rPr>
        <w:commentReference w:id="1"/>
      </w:r>
    </w:p>
    <w:p w14:paraId="40EEA68E" w14:textId="77777777" w:rsidR="00F01E0F" w:rsidRDefault="00F01E0F"/>
    <w:p w14:paraId="4B471509" w14:textId="51B9F7BB" w:rsidR="006434C3" w:rsidRDefault="006434C3">
      <w:r>
        <w:t xml:space="preserve">Different electoral systems can result in different party systems. Duverger’s law states that majoritarian systems tend to produce two-party systems, while </w:t>
      </w:r>
      <w:r w:rsidR="00964A8A">
        <w:t xml:space="preserve">PR </w:t>
      </w:r>
      <w:r>
        <w:t xml:space="preserve">tends to produce multiparty systems. This can be explained through both a mechanical and a strategic effect. Mechanically, </w:t>
      </w:r>
      <w:r w:rsidR="00216337">
        <w:t xml:space="preserve">in </w:t>
      </w:r>
      <w:r>
        <w:t>a majoritarian system such as SMDP</w:t>
      </w:r>
      <w:r w:rsidR="00216337">
        <w:t xml:space="preserve">, only the top vote-getter gets the seat, so votes for losing candidates do not translate into representation. This rewards large parties and punishes small parties. Even if a small party has substantial support, it can win zero seats unless it finishes first somewhere. This mechanically converts votes into a two-party seat distribution. This is reinforced by the strategic effects. Because voters know that the system works this way, they start voting strategically. They do not want to waste their vote, so they vote for the one of the two contenders that they prefer, rather than potentially voting for a third party who they prefer but has no chance of winning. Simultaneously, political elites also, because they want to win, do not enter the political scene under the banner of their most preferred political party, but under the banner of a party that has a realistic chance of winning. Lastly, party elites, because they do not want to split the vote, anticipate this and either </w:t>
      </w:r>
      <w:r w:rsidR="00216337">
        <w:lastRenderedPageBreak/>
        <w:t>do not enter, merge, or ally with larger parties. In PR-systems, on the other hand, because the votes are distributed proportionally, the incentive to vote strategically and to coordinate among political elites is lower</w:t>
      </w:r>
      <w:r>
        <w:t xml:space="preserve"> </w:t>
      </w:r>
      <w:r>
        <w:fldChar w:fldCharType="begin"/>
      </w:r>
      <w:r w:rsidR="00216337">
        <w:instrText xml:space="preserve"> ADDIN ZOTERO_ITEM CSL_CITATION {"citationID":"nxoOS6bJ","properties":{"formattedCitation":"(Clark et al. 2012)","plainCitation":"(Clark et al. 2012)","noteIndex":0},"citationItems":[{"id":328,"uris":["http://zotero.org/users/11369817/items/WFN6N8J9"],"itemData":{"id":328,"type":"book","edition":"2","publisher":"CQ Press","publisher-place":"London","title":"Principles of Comparative Politics","author":[{"family":"Clark","given":""},{"family":"William Roberts","given":""},{"family":"Matt Golder","given":""},{"family":"Sona Nadenichek Golder","given":""}],"issued":{"date-parts":[["2012"]]}}}],"schema":"https://github.com/citation-style-language/schema/raw/master/csl-citation.json"} </w:instrText>
      </w:r>
      <w:r>
        <w:fldChar w:fldCharType="separate"/>
      </w:r>
      <w:r w:rsidR="00216337">
        <w:rPr>
          <w:noProof/>
        </w:rPr>
        <w:t>(Clark et al. 2012)</w:t>
      </w:r>
      <w:r>
        <w:fldChar w:fldCharType="end"/>
      </w:r>
      <w:r w:rsidR="00216337">
        <w:t>.</w:t>
      </w:r>
    </w:p>
    <w:p w14:paraId="4885F2D2" w14:textId="77777777" w:rsidR="00216337" w:rsidRDefault="00216337"/>
    <w:p w14:paraId="5571AAC4" w14:textId="734E4C89" w:rsidR="00175D1A" w:rsidRDefault="004048BB">
      <w:r>
        <w:t xml:space="preserve">However, as Colomer </w:t>
      </w:r>
      <w:r>
        <w:fldChar w:fldCharType="begin"/>
      </w:r>
      <w:r>
        <w:instrText xml:space="preserve"> ADDIN ZOTERO_ITEM CSL_CITATION {"citationID":"GVWrMAzY","properties":{"formattedCitation":"(2005)","plainCitation":"(2005)","noteIndex":0},"citationItems":[{"id":633,"uris":["http://zotero.org/users/11369817/items/26MX86HV"],"itemData":{"id":633,"type":"article-journal","abstract":"This article presents, discusses and tests the hypothesis that it is the number of parties that can explain the choice of electoral systems, rather than the other way around. Already-existing political parties tend to choose electoral systems that, rather than generate new party systems by themselves, will crystallize, consolidate or reinforce previously existing party configurations. A general model develops the argument and presents the concept of ‘behavioral-institutional equilibrium’ to account for the relation between electoral systems and party systems. The most comprehensive dataset and test of these notions to date, encompassing 219 elections in 87 countries since the 19th century, are presented. The analysis gives strong support to the hypotheses that political party configurations dominated by a few parties tend to establish majority rule electoral systems, while multi-party systems already existed before the introduction of proportional representation. It also offers the new theoretical proposition that strategic party choice of electoral systems leads to a general trend toward proportional representation over time.","container-title":"Political studies","DOI":"10.1111/j.1467-9248.2005.00514.x","ISSN":"0032-3217","issue":"1","language":"eng","page":"1–21","publisher":"Blackwell Publishing Ltd","publisher-place":"Oxford, UK","source":"solo.bodleian.ox.ac.uk","title":"It's Parties That Choose Electoral Systems (or, Duverger's Laws Upside Down)","volume":"53","author":[{"family":"Colomer","given":"Josep M."}],"issued":{"date-parts":[["2005"]]}},"suppress-author":true}],"schema":"https://github.com/citation-style-language/schema/raw/master/csl-citation.json"} </w:instrText>
      </w:r>
      <w:r>
        <w:fldChar w:fldCharType="separate"/>
      </w:r>
      <w:r>
        <w:rPr>
          <w:noProof/>
        </w:rPr>
        <w:t>(2005)</w:t>
      </w:r>
      <w:r>
        <w:fldChar w:fldCharType="end"/>
      </w:r>
      <w:r>
        <w:t xml:space="preserve"> argued, the causality also points into the opposite direction. It is the number of parties that explains the electoral system, rather than the other way around. The party system is not a result of the electoral system; the electoral system is the result of the pre-existing party system.</w:t>
      </w:r>
      <w:r w:rsidR="00DA4276">
        <w:t xml:space="preserve"> </w:t>
      </w:r>
      <w:r w:rsidR="00175D1A">
        <w:t>M</w:t>
      </w:r>
      <w:r w:rsidR="00175D1A" w:rsidRPr="00175D1A">
        <w:t>ajoritarian systems are high-risk but high-reward</w:t>
      </w:r>
      <w:r w:rsidR="00175D1A">
        <w:t>, they produce single winners and total losers</w:t>
      </w:r>
      <w:r w:rsidR="00175D1A" w:rsidRPr="00175D1A">
        <w:t>, and proportional systems are low-risk but low-reward</w:t>
      </w:r>
      <w:r w:rsidR="00175D1A">
        <w:t>, they create multiple partial winners</w:t>
      </w:r>
      <w:r w:rsidR="00175D1A" w:rsidRPr="00175D1A">
        <w:t>. Therefore, in a few-party system, actors prefer majoritarian rules. And in a multiparty system, because parties are risk-averse, actors prefer PR</w:t>
      </w:r>
      <w:r w:rsidR="00175D1A">
        <w:t xml:space="preserve"> since they prefer a partial victory over a small chance for a complete victory but a large chance of a total loss</w:t>
      </w:r>
      <w:r w:rsidR="00175D1A" w:rsidRPr="00175D1A">
        <w:t>.</w:t>
      </w:r>
      <w:r w:rsidR="00175D1A">
        <w:t xml:space="preserve"> </w:t>
      </w:r>
      <w:r w:rsidR="00693CB8">
        <w:t xml:space="preserve">Majoritarian systems are sustainable with an effective number of parties (ENP; one over the squared sum of the vote shares) is 1-4, above that, PR becomes attractive as the risk of total loss becomes too high. </w:t>
      </w:r>
      <w:r w:rsidR="00175D1A">
        <w:t>By using an analysis of 219 elections across 87 countries since the 19</w:t>
      </w:r>
      <w:r w:rsidR="00175D1A" w:rsidRPr="00175D1A">
        <w:rPr>
          <w:vertAlign w:val="superscript"/>
        </w:rPr>
        <w:t>th</w:t>
      </w:r>
      <w:r w:rsidR="00175D1A">
        <w:t xml:space="preserve"> century</w:t>
      </w:r>
      <w:r w:rsidR="00693CB8">
        <w:t xml:space="preserve"> he analyses elections before and after electoral system change. He finds that in the election before a </w:t>
      </w:r>
      <w:proofErr w:type="gramStart"/>
      <w:r w:rsidR="00693CB8">
        <w:t>majoritarian system transitions</w:t>
      </w:r>
      <w:proofErr w:type="gramEnd"/>
      <w:r w:rsidR="00693CB8">
        <w:t xml:space="preserve"> to PR or mixed, the average ENP is 3.9 and the higher the ENP, the likelier electoral transition. So multiparty dynamics precede electoral system change, and the new electoral system then reinforces the multiparty system as explained above.</w:t>
      </w:r>
    </w:p>
    <w:p w14:paraId="13C9D01D" w14:textId="77777777" w:rsidR="00175D1A" w:rsidRDefault="00175D1A"/>
    <w:p w14:paraId="1463E4A5" w14:textId="5A5278C1" w:rsidR="00DA4276" w:rsidRDefault="00693CB8">
      <w:r>
        <w:t>Rodden</w:t>
      </w:r>
      <w:r w:rsidR="00DA4276">
        <w:t xml:space="preserve"> </w:t>
      </w:r>
      <w:r w:rsidR="00DA4276">
        <w:fldChar w:fldCharType="begin"/>
      </w:r>
      <w:r w:rsidR="00DA4276">
        <w:instrText xml:space="preserve"> ADDIN ZOTERO_ITEM CSL_CITATION {"citationID":"0pAgnSrM","properties":{"formattedCitation":"(2009)","plainCitation":"(2009)","noteIndex":0},"citationItems":[{"id":635,"uris":["http://zotero.org/users/11369817/items/SHC4A2S7"],"itemData":{"id":635,"type":"chapter","abstract":"Like a fashion trend traveling from New York to the heartland, soul-searching about causality has made its way from empirical research in economics to that in political science with the usual lag. Gone are the days when it was enough to have a nice theory, a conditional correlation, and some rhetoric about the implausibility of competing explanations while implying but assiduously avoiding the “c” word. Editors, reviewers, and search committees are beginning to look for more explicit and careful empirical treatments of causality. That is, following a definition of causality tracing back to Mill (1848), researchers are expected to lay out a set of possible outcomes, or counterfactuals, generated by a set of determinants, and demonstrate that holding all possible determinants except one at a constant level, the manipulation of that determinant is associated with a specific change in outcome, which can be deemed a causal effect (Heckman 2005).It does not take much soul-searching to realize, however, that the observational studies that make up the vast majority of empirical explorations in comparative politics are deeply flawed when held up to the experimental ideal. Where does this leave us? In the extreme view, if we cannot do randomized field experiments or perhaps survey experiments, we should do nothing. The opposite extreme position holds that this would remake comparative politics into an arid subfield of program evaluation, turning a blind eye to the interesting and important questions that animated the field in its golden era (definitions vary).","container-title":"Comparative Politics","DOI":"10.1017/CBO9780511804007.014","ISBN":"978-0-521-71234-7","language":"eng","page":"333–357","publisher":"Cambridge University Press","publisher-place":"United States","source":"solo.bodleian.ox.ac.uk","title":"BACK TO THE FUTURE: ENDOGENOUS INSTITUTIONS AND COMPARATIVE POLITICS","title-short":"BACK TO THE FUTURE","author":[{"family":"Rodden","given":"Jonathan"}],"issued":{"date-parts":[["2009"]]}},"suppress-author":true}],"schema":"https://github.com/citation-style-language/schema/raw/master/csl-citation.json"} </w:instrText>
      </w:r>
      <w:r w:rsidR="00DA4276">
        <w:fldChar w:fldCharType="separate"/>
      </w:r>
      <w:r w:rsidR="00DA4276">
        <w:rPr>
          <w:noProof/>
        </w:rPr>
        <w:t>(2009)</w:t>
      </w:r>
      <w:r w:rsidR="00DA4276">
        <w:fldChar w:fldCharType="end"/>
      </w:r>
      <w:r w:rsidR="00DA4276">
        <w:t xml:space="preserve"> </w:t>
      </w:r>
      <w:r>
        <w:t>applies the same logic to argue</w:t>
      </w:r>
      <w:r w:rsidR="00DA4276">
        <w:t xml:space="preserve"> that many of the causal claims about electoral systems are </w:t>
      </w:r>
      <w:r>
        <w:t>methodologically</w:t>
      </w:r>
      <w:r w:rsidR="00DA4276">
        <w:t xml:space="preserve"> problematic. Institutions </w:t>
      </w:r>
      <w:r>
        <w:t>are</w:t>
      </w:r>
      <w:r w:rsidR="00DA4276">
        <w:t xml:space="preserve"> endogenous to the same causes that explain their effects. Electoral rules may correlate with outcomes, such as welfare spending. But the electoral rules themselves may be the result of other underlying causes which might also be behind those outcomes.</w:t>
      </w:r>
      <w:r>
        <w:t xml:space="preserve"> A higher level of welfare spending under PR could also be explained through </w:t>
      </w:r>
      <w:r w:rsidR="005E74AC">
        <w:t>the fact that countries which adopted PR had stronger working-class parties who pushed for both PR and for more expansive welfare states.</w:t>
      </w:r>
      <w:r>
        <w:t xml:space="preserve"> </w:t>
      </w:r>
    </w:p>
    <w:p w14:paraId="235A7B6D" w14:textId="77777777" w:rsidR="004048BB" w:rsidRDefault="004048BB"/>
    <w:p w14:paraId="66F7A61F" w14:textId="0406C8DA" w:rsidR="00A514D1" w:rsidRDefault="004048BB">
      <w:pPr>
        <w:rPr>
          <w:i/>
          <w:iCs/>
        </w:rPr>
      </w:pPr>
      <w:r>
        <w:rPr>
          <w:i/>
          <w:iCs/>
        </w:rPr>
        <w:t>PR systems in Europe</w:t>
      </w:r>
      <w:r w:rsidR="00FA3ACD">
        <w:rPr>
          <w:i/>
          <w:iCs/>
        </w:rPr>
        <w:t xml:space="preserve"> and later electoral reform</w:t>
      </w:r>
    </w:p>
    <w:p w14:paraId="5EB4AB87" w14:textId="77777777" w:rsidR="00E944DD" w:rsidRDefault="00E944DD">
      <w:pPr>
        <w:rPr>
          <w:i/>
          <w:iCs/>
        </w:rPr>
      </w:pPr>
    </w:p>
    <w:p w14:paraId="23F6B248" w14:textId="4A2230EC" w:rsidR="00EB5577" w:rsidRDefault="00161071">
      <w:commentRangeStart w:id="2"/>
      <w:r>
        <w:t xml:space="preserve">This is why PR emerged in Europe. Before the 1900s, majority and plurality systems dominated and then in the 1910s and 20s, there was a massive shift to PR. This coincides with when suffrage is expanded to the working-class. As Boix </w:t>
      </w:r>
      <w:r>
        <w:fldChar w:fldCharType="begin"/>
      </w:r>
      <w:r>
        <w:instrText xml:space="preserve"> ADDIN ZOTERO_ITEM CSL_CITATION {"citationID":"mY4N0F0C","properties":{"formattedCitation":"(1999)","plainCitation":"(1999)","noteIndex":0},"citationItems":[{"id":636,"uris":["http://zotero.org/users/11369817/items/4GFFDYJI"],"itemData":{"id":636,"type":"article-journal","abstract":"Looking at the history of democracies in the developed world, I show that electoral systems derive from the decisions the ruling parties make to maximize their representation according to the following conditions. As long as the electoral arena does not change and the current electoral regime benefits the ruling parties, the electoral system is not altered. As the electoral arena changes (due to the entry of new voters or a change in voters' preferences), the ruling parties modify the electoral system, depending on the emergence of new parties and the coordinating capacities of the old parties. When the new parties are strong, the old parties shift from plurality/majority to proportional representation if no old party enjoys a dominant position, but they do not do this if there is a dominant old party. When new entrants are weak, a system of nonproportional representation is maintained, regardless of the structure of the old party system.","container-title":"The American Political Science Review","DOI":"10.2307/2585577","ISSN":"0003-0554","issue":"3","page":"609-624","publisher":"[American Political Science Association, Cambridge University Press]","source":"JSTOR","title":"Setting the Rules of the Game: The Choice of Electoral Systems in Advanced Democracies","title-short":"Setting the Rules of the Game","volume":"93","author":[{"family":"Boix","given":"Carles"}],"issued":{"date-parts":[["1999"]]}},"suppress-author":true}],"schema":"https://github.com/citation-style-language/schema/raw/master/csl-citation.json"} </w:instrText>
      </w:r>
      <w:r>
        <w:fldChar w:fldCharType="separate"/>
      </w:r>
      <w:r>
        <w:rPr>
          <w:noProof/>
        </w:rPr>
        <w:t>(1999)</w:t>
      </w:r>
      <w:r>
        <w:fldChar w:fldCharType="end"/>
      </w:r>
      <w:r>
        <w:t xml:space="preserve"> argued, political elites decided to adopt PR when there were strong socialist parties who would threaten the existing political parties when suffrage expanded. To safeguard their representation, political elites would adopt PR. Boix finds that when socialist parties are stronger, and the nonsocialist parties were more divided (and so had even greater risks of no longer being represented), the countries were more likely to adopt PR. Countries </w:t>
      </w:r>
      <w:r>
        <w:lastRenderedPageBreak/>
        <w:t xml:space="preserve">such as the Netherlands, Belgium, Sweden, and Germany adopted PR for this reason. But in the UK where the socialist parties were weaker and the nonsocialist parties were not divided, since it was dominated by the Conservatives, </w:t>
      </w:r>
      <w:r w:rsidR="00EB5577">
        <w:t>a majoritarian system could survive.</w:t>
      </w:r>
    </w:p>
    <w:p w14:paraId="67E18F82" w14:textId="77777777" w:rsidR="00EB5577" w:rsidRDefault="00EB5577"/>
    <w:p w14:paraId="0F5129B7" w14:textId="5B326DD3" w:rsidR="00EB5577" w:rsidRPr="00254F12" w:rsidRDefault="00EB5577">
      <w:pPr>
        <w:rPr>
          <w:lang w:val="en-US"/>
        </w:rPr>
      </w:pPr>
      <w:r>
        <w:t xml:space="preserve">Another determinant of the electoral reform towards PR in Europe </w:t>
      </w:r>
      <w:r w:rsidR="00210F75">
        <w:t xml:space="preserve">is the structure of capitalism. Cusack et al. </w:t>
      </w:r>
      <w:r w:rsidR="00210F75">
        <w:fldChar w:fldCharType="begin"/>
      </w:r>
      <w:r w:rsidR="00210F75">
        <w:instrText xml:space="preserve"> ADDIN ZOTERO_ITEM CSL_CITATION {"citationID":"gZzXNGEQ","properties":{"formattedCitation":"(2010)","plainCitation":"(2010)","noteIndex":0},"citationItems":[{"id":640,"uris":["http://zotero.org/users/11369817/items/8PDAB6HU"],"itemData":{"id":640,"type":"article-journal","abstract":"Protocorporatist West European countries in which economic interests were collectively organized adopted PR in the first quarter of the twentieth century, whereas liberal countries in which economic interests were not collectively organized did not. Political parties, as Marcus Kreuzer points out, choose electoral systems. So how do economic interests translate into party political incentives to adopt electoral reform? We argue that parties in protocorporatist countries were “representative” of and closely linked to economic interests. As electoral competition in single member districts increased sharply up to World War I, great difficulties resulted for the representative parties whose leaders were seen as interest committed. They could not credibly compete for votes outside their interest without leadership changes or reductions in interest influence. Proportional representation offered an obvious solution, allowing parties to target their own voters and their organized interest to continue effective influence in the legislature. In each respect, the opposite was true of liberal countries. Data on party preferences strongly confirm this model. (Kreuzer's historical criticisms are largely incorrect, as shown in detail in the online supplementary Appendix.)","container-title":"The American political science review","DOI":"10.1017/S0003055410000134","ISSN":"0003-0554","issue":"2","language":"eng","page":"393–403","publisher":"Cambridge University Press","publisher-place":"New York, USA","source":"solo.bodleian.ox.ac.uk","title":"Coevolution of Capitalism and Political Representation: The Choice of Electoral Systems","title-short":"Coevolution of Capitalism and Political Representation","volume":"104","author":[{"family":"CUSACK","given":"THOMAS"},{"family":"IVERSEN","given":"TORBEN"},{"family":"SOSKICE","given":"DAVID"}],"issued":{"date-parts":[["2010"]]}},"suppress-author":true}],"schema":"https://github.com/citation-style-language/schema/raw/master/csl-citation.json"} </w:instrText>
      </w:r>
      <w:r w:rsidR="00210F75">
        <w:fldChar w:fldCharType="separate"/>
      </w:r>
      <w:r w:rsidR="00210F75">
        <w:rPr>
          <w:noProof/>
        </w:rPr>
        <w:t>(2010)</w:t>
      </w:r>
      <w:r w:rsidR="00210F75">
        <w:fldChar w:fldCharType="end"/>
      </w:r>
      <w:r w:rsidR="00210F75">
        <w:t xml:space="preserve"> argue that </w:t>
      </w:r>
      <w:proofErr w:type="spellStart"/>
      <w:r w:rsidR="00210F75">
        <w:t>protocorporatist</w:t>
      </w:r>
      <w:proofErr w:type="spellEnd"/>
      <w:r w:rsidR="00210F75">
        <w:t xml:space="preserve"> societies</w:t>
      </w:r>
      <w:r w:rsidR="00254F12">
        <w:t>, such as Germany,</w:t>
      </w:r>
      <w:r w:rsidR="00210F75">
        <w:t xml:space="preserve"> adopt PR but liberal market economies</w:t>
      </w:r>
      <w:r w:rsidR="00254F12">
        <w:t>, such as the UK,</w:t>
      </w:r>
      <w:r w:rsidR="00210F75">
        <w:t xml:space="preserve"> can sustain a majoritarian system. </w:t>
      </w:r>
      <w:proofErr w:type="spellStart"/>
      <w:r w:rsidR="00210F75">
        <w:t>Protocorporatist</w:t>
      </w:r>
      <w:proofErr w:type="spellEnd"/>
      <w:r w:rsidR="00210F75">
        <w:t xml:space="preserve"> societies are societies in which economic interests such as those from  are very strongly organized, politics is negotiation based, and political parties represent one of these economic interests. In majoritarian systems, these parties face a trilemma: they are known to </w:t>
      </w:r>
      <w:r w:rsidR="00254F12">
        <w:t>be committed to certain groups, they cannot easily pivot to the median voter, but majoritarian systems require a broader appeal to stay relevant. PR solves this problem, as parties can keep representing their groups without having to pivot.</w:t>
      </w:r>
      <w:r w:rsidR="00210F75">
        <w:t xml:space="preserve"> </w:t>
      </w:r>
      <w:r w:rsidR="00254F12">
        <w:t xml:space="preserve">Conversely, in liberal market societies, the economic interests are organized </w:t>
      </w:r>
      <w:proofErr w:type="gramStart"/>
      <w:r w:rsidR="00254F12">
        <w:t>more weakly</w:t>
      </w:r>
      <w:proofErr w:type="gramEnd"/>
      <w:r w:rsidR="00254F12">
        <w:t xml:space="preserve"> and parties can be </w:t>
      </w:r>
      <w:proofErr w:type="gramStart"/>
      <w:r w:rsidR="00254F12">
        <w:t>more broad</w:t>
      </w:r>
      <w:proofErr w:type="gramEnd"/>
      <w:r w:rsidR="00254F12">
        <w:t>, catch-all parties, and so PR is not required.</w:t>
      </w:r>
      <w:commentRangeEnd w:id="2"/>
      <w:r w:rsidR="00C118C0">
        <w:rPr>
          <w:rStyle w:val="Verwijzingopmerking"/>
        </w:rPr>
        <w:commentReference w:id="2"/>
      </w:r>
    </w:p>
    <w:p w14:paraId="3C923BA9" w14:textId="77777777" w:rsidR="00254F12" w:rsidRDefault="00254F12">
      <w:pPr>
        <w:rPr>
          <w:i/>
          <w:iCs/>
        </w:rPr>
      </w:pPr>
    </w:p>
    <w:p w14:paraId="2C159A91" w14:textId="5A4FA0E0" w:rsidR="00254F12" w:rsidRDefault="00254F12">
      <w:r>
        <w:t xml:space="preserve">I have shown how electoral reform in early </w:t>
      </w:r>
      <w:r w:rsidR="00FA3ACD">
        <w:t>1900s Europe was determined by elite incentives. However, in modern democracies, there are also electoral reforms</w:t>
      </w:r>
      <w:r w:rsidR="00E44FE6">
        <w:t xml:space="preserve">. Benoit </w:t>
      </w:r>
      <w:r w:rsidR="00E44FE6">
        <w:fldChar w:fldCharType="begin"/>
      </w:r>
      <w:r w:rsidR="00E44FE6">
        <w:instrText xml:space="preserve"> ADDIN ZOTERO_ITEM CSL_CITATION {"citationID":"mrWS0yoM","properties":{"formattedCitation":"(2004)","plainCitation":"(2004)","noteIndex":0},"citationItems":[{"id":645,"uris":["http://zotero.org/users/11369817/items/YA7XM5Z2"],"itemData":{"id":645,"type":"article-journal","abstract":"Electoral systems are commonly treated as exogenous determinants of political party systems, yet our theoretical understanding remains limited as to how these institutions themselves are determined. Part of the problem lies with the subject matter itself: electoral system change is frequently idiosyncratic, often occurring during episodes of exceptional political change. Yet another aspect of the problem is that explanations of electoral system change frequently occur piecemeal in application to specific cases, without systematic or comparative development. Addressing both problems, I first survey the existing literature to develop a comprehensive typology of explanations of electoral system change and persistence. I then set forth a theory predicting the conditions under which electoral systems should change, linking motivations for institutional change to instrumentally rational political parties seeking to maximize their legislative seat shares. The theory predicts that electoral laws will change when a coalition of parties exists such that each party in the coalition expects to gain more seats under an alternative electoral institution, and that also has sufficient power to effect this alternative through fiat given the rules for changing electoral laws. To contrast this model to other explanations of electoral system change, I point to its observable implications and outline how it could be confirmed or disconfirmed in empirical research. The comparison also highlights limitations in other approaches to explaining electoral system change, and underscores the importance of institutions in inducing equilibriums in both electoral systems and party systems.","container-title":"Electoral studies","DOI":"10.1016/S0261-3794(03)00020-9","ISSN":"0261-3794","issue":"3","language":"eng","page":"363–389","publisher":"Elsevier Ltd","source":"solo.bodleian.ox.ac.uk","title":"Models of electoral system change","volume":"23","author":[{"family":"Benoit","given":"Kenneth"}],"issued":{"date-parts":[["2004"]]}},"suppress-author":true}],"schema":"https://github.com/citation-style-language/schema/raw/master/csl-citation.json"} </w:instrText>
      </w:r>
      <w:r w:rsidR="00E44FE6">
        <w:fldChar w:fldCharType="separate"/>
      </w:r>
      <w:r w:rsidR="00E44FE6">
        <w:rPr>
          <w:noProof/>
        </w:rPr>
        <w:t>(2004)</w:t>
      </w:r>
      <w:r w:rsidR="00E44FE6">
        <w:fldChar w:fldCharType="end"/>
      </w:r>
      <w:r w:rsidR="00E44FE6">
        <w:t xml:space="preserve"> proposes a model of electoral change. Firstly, he distinguishes three different explanations: self-interested explanations, on which we have focused until now, electoral change for the general interest, and non-instrumental explanations. The self-interested explanations can be policy-seeking, </w:t>
      </w:r>
      <w:r w:rsidR="006301DC">
        <w:t>officeseeking</w:t>
      </w:r>
      <w:r w:rsidR="00E44FE6">
        <w:t>, or for personal-gain</w:t>
      </w:r>
      <w:r w:rsidR="006301DC">
        <w:t xml:space="preserve">. I have already touched on this above. The general-interest explanations can be about representation, such as making sure that certain ethnic minorities are represented, governability, maximizing the seat share of the largest party makes it easier to govern, social and political engineering, making sure that there are for instance ethnically cross-cutting coalitions, and others. However, as Benoit argues, </w:t>
      </w:r>
      <w:r w:rsidR="00D477EA">
        <w:t xml:space="preserve">these are less convincing than self-interested explanations though it can affect certain outcomes. In New Zealand, for instance, the dominant Labour party was forced to adopt a </w:t>
      </w:r>
      <w:r w:rsidR="00A04679">
        <w:t>mixed</w:t>
      </w:r>
      <w:r w:rsidR="00D477EA">
        <w:t xml:space="preserve"> system after public pressure because of an inquiry about the optimal electoral system.</w:t>
      </w:r>
    </w:p>
    <w:p w14:paraId="54EBDE71" w14:textId="77777777" w:rsidR="00D477EA" w:rsidRDefault="00D477EA"/>
    <w:p w14:paraId="562C0B71" w14:textId="56F3C75B" w:rsidR="00D477EA" w:rsidRPr="00254F12" w:rsidRDefault="00D477EA">
      <w:r>
        <w:t xml:space="preserve">The model for electoral change that he proposes is based on a self-interested explanation.  Electoral systems change when </w:t>
      </w:r>
      <w:r w:rsidRPr="00D477EA">
        <w:t>when a coalition of parties exists such that each expects to gain more seats under an alternative system, and they have sufficient institutional power to implement the change</w:t>
      </w:r>
      <w:r>
        <w:t xml:space="preserve">. Each party forms expectations about its future vote share and how different electoral systems convert votes into seats. They then rank electoral systems by seat share and support a change if it expects to gain seats and is part of the coalition that can pass the reform. </w:t>
      </w:r>
      <w:r w:rsidR="00BF65AE">
        <w:t xml:space="preserve">This leads to equilibrium as parties adapt strategies to institutions (the Duverger effects) and institutions adapt to </w:t>
      </w:r>
      <w:r w:rsidR="00BF65AE">
        <w:lastRenderedPageBreak/>
        <w:t xml:space="preserve">party strategies. </w:t>
      </w:r>
      <w:r>
        <w:t xml:space="preserve">This then leads to an equilibrium when no coalition with sufficient power expects to benefit from additional electoral change. </w:t>
      </w:r>
    </w:p>
    <w:p w14:paraId="358491C7" w14:textId="77777777" w:rsidR="004048BB" w:rsidRDefault="004048BB"/>
    <w:p w14:paraId="273121A6" w14:textId="108D33A2" w:rsidR="006434C3" w:rsidRDefault="004048BB">
      <w:pPr>
        <w:rPr>
          <w:i/>
          <w:iCs/>
        </w:rPr>
      </w:pPr>
      <w:r>
        <w:rPr>
          <w:i/>
          <w:iCs/>
        </w:rPr>
        <w:t>Lack of electoral reform</w:t>
      </w:r>
    </w:p>
    <w:p w14:paraId="42641FF1" w14:textId="77777777" w:rsidR="004048BB" w:rsidRDefault="004048BB"/>
    <w:p w14:paraId="6D599CA3" w14:textId="0AA70E3D" w:rsidR="004048BB" w:rsidRDefault="00BF65AE" w:rsidP="00BF65AE">
      <w:r>
        <w:t xml:space="preserve">However, as Bowler </w:t>
      </w:r>
      <w:r>
        <w:fldChar w:fldCharType="begin"/>
      </w:r>
      <w:r>
        <w:instrText xml:space="preserve"> ADDIN ZOTERO_ITEM CSL_CITATION {"citationID":"a0RpzU8V","properties":{"formattedCitation":"(2008)","plainCitation":"(2008)","noteIndex":0},"citationItems":[{"id":646,"uris":["http://zotero.org/users/11369817/items/LHAH3245"],"itemData":{"id":646,"type":"chapter","abstract":"This article views electoral systems and electoral system change from an institutional perspective. This perspective lends itself to a rational actor framework that highlights the strategic choices made by voters and political elites. This article has a central organizing theme, which is the way Duverger's Law can be taken to be the canonical statement of what electoral systems (as institutions) do and why the choice of electoral institutions is important. It discusses the changes in electoral systems and even the remarkable lack of change in electoral systems worldwide.","collection-title":"Oxford Handbooks of Political Science","container-title":"The Oxford Handbook of Political Institutions","DOI":"10.1093/oxfordhb/9780199548460.003.0029","ISBN":"978-0-19-954846-0","language":"eng","publisher":"Oxford University Press","source":"solo.bodleian.ox.ac.uk","title":"Electoral Systems","author":[{"family":"Bowler","given":"Shaun"}],"contributor":[{"family":"Binder","given":"Sarah A."},{"family":"Rockman","given":"Bert A."},{"family":"Rhodes","given":"R. A. W."}],"issued":{"date-parts":[["2008"]]}},"suppress-author":true}],"schema":"https://github.com/citation-style-language/schema/raw/master/csl-citation.json"} </w:instrText>
      </w:r>
      <w:r>
        <w:fldChar w:fldCharType="separate"/>
      </w:r>
      <w:r>
        <w:rPr>
          <w:noProof/>
        </w:rPr>
        <w:t>(2008)</w:t>
      </w:r>
      <w:r>
        <w:fldChar w:fldCharType="end"/>
      </w:r>
      <w:r>
        <w:t xml:space="preserve"> recognizes, despite the strong incentives to manipulate them, electoral systems rarely really change. Andrews and Jackman </w:t>
      </w:r>
      <w:r w:rsidR="00A548C8">
        <w:fldChar w:fldCharType="begin"/>
      </w:r>
      <w:r w:rsidR="00A548C8">
        <w:instrText xml:space="preserve"> ADDIN ZOTERO_ITEM CSL_CITATION {"citationID":"hqYYxsNg","properties":{"formattedCitation":"(2005)","plainCitation":"(2005)","noteIndex":0},"citationItems":[{"id":647,"uris":["http://zotero.org/users/11369817/items/UPAZNNPG"],"itemData":{"id":647,"type":"article-journal","abstract":"We compare patterns of electoral rule choice in two periods, that following the First World War in Western Europe and that following the end of the Cold War in Central and Eastern Europe. Heretofore, scholars have studied these two instances of electoral rule choice separately and have come to quite different conclusions about the implications of strategic behavior of the relevant actors. In the case of early 20th Century Western Europe, Rokkan and later Boix cast the choice of electoral rules as a result of coordinated strategic behavior by established parties in reaction to increasing support for new parties of the left. In contrast, recent analyses of the post-Cold War period in Central and Eastern Europe suggest that while all political actors acted strategically, an extreme lack of information prevented them from making choices that served their self-interest in the long run. Indeed, many party leaders supported electoral rules that later eliminated them from politics. We argue that uncertainty was a major factor in both periods of electoral rule design, so that political elites often made serious miscalculations of the effect of particular electoral rules on their own future success. A reanalysis of the Boix data suggests that efforts to explain the choice of electoral rules as a coordinated response by established parties to electoral threat must be viewed with skepticism, since uncertainty made success or failure almost impossible to predict. Instead, any strategic behavior was short-term at best, reflecting the largest party's most recent experience in the preceding election.","container-title":"Electoral studies","DOI":"10.1016/j.electstud.2004.03.002","ISSN":"0261-3794","issue":"1","language":"eng","page":"65–84","publisher":"Elsevier Ltd","source":"solo.bodleian.ox.ac.uk","title":"Strategic fools: electoral rule choice under extreme uncertainty","title-short":"Strategic fools","volume":"24","author":[{"family":"Andrews","given":"Josephine T."},{"family":"Jackman","given":"Robert W."}],"issued":{"date-parts":[["2005"]]}},"suppress-author":true}],"schema":"https://github.com/citation-style-language/schema/raw/master/csl-citation.json"} </w:instrText>
      </w:r>
      <w:r w:rsidR="00A548C8">
        <w:fldChar w:fldCharType="separate"/>
      </w:r>
      <w:r w:rsidR="00A548C8">
        <w:rPr>
          <w:noProof/>
        </w:rPr>
        <w:t>(2005)</w:t>
      </w:r>
      <w:r w:rsidR="00A548C8">
        <w:fldChar w:fldCharType="end"/>
      </w:r>
      <w:r w:rsidR="00A548C8">
        <w:t xml:space="preserve"> explain this, and also challenges the explanation given by Boix as to why PR emerged in Europe in the 1910s and 20s. The literature gives two contradictory impressions: in Western Europe the change to PR is explained as very rational in the literature, but electoral change in post-communist countries in </w:t>
      </w:r>
      <w:commentRangeStart w:id="3"/>
      <w:r w:rsidR="00A548C8">
        <w:t>Easter</w:t>
      </w:r>
      <w:r w:rsidR="00472816">
        <w:t>n</w:t>
      </w:r>
      <w:r w:rsidR="00A548C8">
        <w:t xml:space="preserve"> Europe is seen as very uncertain with many leaders adopting electoral rules that later eliminated them</w:t>
      </w:r>
      <w:commentRangeEnd w:id="3"/>
      <w:r w:rsidR="00C118C0">
        <w:rPr>
          <w:rStyle w:val="Verwijzingopmerking"/>
        </w:rPr>
        <w:commentReference w:id="3"/>
      </w:r>
      <w:r w:rsidR="00A548C8">
        <w:t>.</w:t>
      </w:r>
      <w:r w:rsidR="004646AA">
        <w:t xml:space="preserve"> In </w:t>
      </w:r>
      <w:r w:rsidR="00472816">
        <w:t xml:space="preserve">Poland, for example, the Communist party (PUWP) chose to adopt a majoritarian system because they overestimated their popular support and believed that a majoritarian system would fragment the opposition. However, Solidarity coordinated extremely well and won all available contested seats. According to Andrews and Jackman, uncertainty explains the lack of electoral change. They discern three different forms of uncertainty: uncertainty over the number of parties, in the wave of democratization in the 1990s in Easter Europe, it was unclear who the new players were going to be; </w:t>
      </w:r>
      <w:r w:rsidR="00347F9A">
        <w:t>uncertainty over the preferences of voters, especially in dictatorships like Eastern Europe where people did not openly admit their support; and uncertainty over the impact of electoral systems, elites do not really know how different electoral systems lead to different outcomes. In Poland, the PUWP did not even consider the idea of using a Single Transferable Vote system, which would have given them more representation.</w:t>
      </w:r>
      <w:r w:rsidR="001475B9">
        <w:t xml:space="preserve"> Because of these factors, despite the theoretical benefits of electoral change, it is more uncommon than expected.</w:t>
      </w:r>
      <w:r w:rsidR="00964A8A">
        <w:t xml:space="preserve"> Though, as Bowler (2008) and Katz </w:t>
      </w:r>
      <w:r w:rsidR="00964A8A">
        <w:fldChar w:fldCharType="begin"/>
      </w:r>
      <w:r w:rsidR="00964A8A">
        <w:instrText xml:space="preserve"> ADDIN ZOTERO_ITEM CSL_CITATION {"citationID":"s4IgZ0Bk","properties":{"formattedCitation":"(2005)","plainCitation":"(2005)","noteIndex":0},"citationItems":[{"id":649,"uris":["http://zotero.org/users/11369817/items/TD3ATWZ2"],"itemData":{"id":649,"type":"chapter","abstract":"Electoral reforms are surprisingly rare in established political systems. This chapter analyses the reasons why political actors might attempt to change an electoral system to one that more closely matches their own interests, and the reasons why they might decide not to attempt to do this. It discusses the limitations of the rational actor paradigm. It identifies the circumstances under which electoral reform becomes more likely. It discusses ‘fashions’ in electoral reform, particularly the adoption of mixed systems in a number of countries and moves to widen voters’ intraparty candidate choice, and emphasises the important role of democratic values.","container-title":"The Politics of Electoral Systems","DOI":"10.1093/0199257566.003.0003","ISBN":"978-0-19-925756-0","page":"0","publisher":"Oxford University Press","source":"Silverchair","title":"Why Are There So Many (or So Few) Electoral Reforms?","URL":"https://doi.org/10.1093/0199257566.003.0003","author":[{"family":"Katz","given":"Richard S."}],"editor":[{"family":"Gallagher","given":"Michael"},{"family":"Mitchell","given":"Paul"}],"accessed":{"date-parts":[["2026",2,11]]},"issued":{"date-parts":[["2005",9,15]]}},"suppress-author":true}],"schema":"https://github.com/citation-style-language/schema/raw/master/csl-citation.json"} </w:instrText>
      </w:r>
      <w:r w:rsidR="00964A8A">
        <w:fldChar w:fldCharType="separate"/>
      </w:r>
      <w:r w:rsidR="00964A8A">
        <w:rPr>
          <w:noProof/>
        </w:rPr>
        <w:t>(2005)</w:t>
      </w:r>
      <w:r w:rsidR="00964A8A">
        <w:fldChar w:fldCharType="end"/>
      </w:r>
      <w:r w:rsidR="00964A8A">
        <w:t xml:space="preserve"> argue, while major electoral reform is surprisingly rare, minor electoral changes are quite common. Thresholds, district magnitude, ballot rules, and intraparty choice change quite often. </w:t>
      </w:r>
    </w:p>
    <w:p w14:paraId="55810C3F" w14:textId="77777777" w:rsidR="00964A8A" w:rsidRDefault="00964A8A" w:rsidP="00BF65AE"/>
    <w:p w14:paraId="4B2641E4" w14:textId="7BF32D45" w:rsidR="004048BB" w:rsidRDefault="00532C8B">
      <w:r w:rsidRPr="00532C8B">
        <w:t xml:space="preserve">In conclusion, electoral reform is primarily driven by incumbent self-interest, as parties support institutional change when they expect alternative rules to improve their seat share or reduce the risk of exclusion. Majoritarian and proportional systems distribute risk and reward differently, and parties choose between them based on the structure of competition they face. However, institutional choice is endogenous to party systems and shaped by broader political and economic conditions. At the same time, uncertainty about voter preferences, party development, and institutional effects, along with internal divisions and democratic constraints, makes large-scale reform relatively rare. Electoral systems therefore change mainly at moments of instability or heightened </w:t>
      </w:r>
      <w:proofErr w:type="gramStart"/>
      <w:r w:rsidRPr="00532C8B">
        <w:t>risk, and</w:t>
      </w:r>
      <w:proofErr w:type="gramEnd"/>
      <w:r w:rsidRPr="00532C8B">
        <w:t xml:space="preserve"> then stabilize once no coalition both expects to benefit from reform and has the power to enact it.</w:t>
      </w:r>
    </w:p>
    <w:p w14:paraId="542D950F" w14:textId="77777777" w:rsidR="00532C8B" w:rsidRDefault="00532C8B"/>
    <w:p w14:paraId="6C3857EA" w14:textId="5B3A1FCC" w:rsidR="00E55FB1" w:rsidRDefault="004048BB" w:rsidP="00E55FB1">
      <w:pPr>
        <w:rPr>
          <w:b/>
          <w:bCs/>
        </w:rPr>
      </w:pPr>
      <w:r>
        <w:rPr>
          <w:b/>
          <w:bCs/>
        </w:rPr>
        <w:lastRenderedPageBreak/>
        <w:t>Bibliography</w:t>
      </w:r>
    </w:p>
    <w:p w14:paraId="752257A8" w14:textId="77777777" w:rsidR="00964A8A" w:rsidRPr="00964A8A" w:rsidRDefault="004048BB" w:rsidP="00964A8A">
      <w:pPr>
        <w:pStyle w:val="Bibliografie"/>
        <w:rPr>
          <w:rFonts w:ascii="Aptos"/>
          <w:lang w:val="en-US"/>
        </w:rPr>
      </w:pPr>
      <w:r>
        <w:fldChar w:fldCharType="begin"/>
      </w:r>
      <w:r>
        <w:instrText xml:space="preserve"> ADDIN ZOTERO_BIBL {"uncited":[],"omitted":[],"custom":[]} CSL_BIBLIOGRAPHY </w:instrText>
      </w:r>
      <w:r>
        <w:fldChar w:fldCharType="separate"/>
      </w:r>
      <w:r w:rsidR="00964A8A" w:rsidRPr="00964A8A">
        <w:rPr>
          <w:rFonts w:ascii="Aptos"/>
          <w:lang w:val="en-US"/>
        </w:rPr>
        <w:t xml:space="preserve">Andrews, Josephine T., and Robert W. Jackman. 2005. ‘Strategic Fools: Electoral Rule Choice under Extreme Uncertainty’. </w:t>
      </w:r>
      <w:r w:rsidR="00964A8A" w:rsidRPr="00964A8A">
        <w:rPr>
          <w:rFonts w:ascii="Aptos"/>
          <w:i/>
          <w:iCs/>
          <w:lang w:val="en-US"/>
        </w:rPr>
        <w:t>Electoral studies</w:t>
      </w:r>
      <w:r w:rsidR="00964A8A" w:rsidRPr="00964A8A">
        <w:rPr>
          <w:rFonts w:ascii="Aptos"/>
          <w:lang w:val="en-US"/>
        </w:rPr>
        <w:t xml:space="preserve"> 24(1): 65–84. doi:10.1016/j.electstud.2004.03.002.</w:t>
      </w:r>
    </w:p>
    <w:p w14:paraId="4189CBE8" w14:textId="77777777" w:rsidR="00964A8A" w:rsidRPr="00964A8A" w:rsidRDefault="00964A8A" w:rsidP="00964A8A">
      <w:pPr>
        <w:pStyle w:val="Bibliografie"/>
        <w:rPr>
          <w:rFonts w:ascii="Aptos"/>
          <w:lang w:val="en-US"/>
        </w:rPr>
      </w:pPr>
      <w:r w:rsidRPr="00964A8A">
        <w:rPr>
          <w:rFonts w:ascii="Aptos"/>
          <w:lang w:val="en-US"/>
        </w:rPr>
        <w:t xml:space="preserve">Benoit, Kenneth. 2004. ‘Models of Electoral System Change’. </w:t>
      </w:r>
      <w:r w:rsidRPr="00964A8A">
        <w:rPr>
          <w:rFonts w:ascii="Aptos"/>
          <w:i/>
          <w:iCs/>
          <w:lang w:val="en-US"/>
        </w:rPr>
        <w:t>Electoral studies</w:t>
      </w:r>
      <w:r w:rsidRPr="00964A8A">
        <w:rPr>
          <w:rFonts w:ascii="Aptos"/>
          <w:lang w:val="en-US"/>
        </w:rPr>
        <w:t xml:space="preserve"> 23(3): 363–89. doi:10.1016/S0261-3794(03)00020-9.</w:t>
      </w:r>
    </w:p>
    <w:p w14:paraId="5E605121" w14:textId="77777777" w:rsidR="00964A8A" w:rsidRPr="00964A8A" w:rsidRDefault="00964A8A" w:rsidP="00964A8A">
      <w:pPr>
        <w:pStyle w:val="Bibliografie"/>
        <w:rPr>
          <w:rFonts w:ascii="Aptos"/>
          <w:lang w:val="en-US"/>
        </w:rPr>
      </w:pPr>
      <w:r w:rsidRPr="00964A8A">
        <w:rPr>
          <w:rFonts w:ascii="Aptos"/>
          <w:lang w:val="en-US"/>
        </w:rPr>
        <w:t xml:space="preserve">Boix, Carles. 1999. ‘Setting the Rules of the Game: The Choice of Electoral Systems in Advanced Democracies’. </w:t>
      </w:r>
      <w:r w:rsidRPr="00964A8A">
        <w:rPr>
          <w:rFonts w:ascii="Aptos"/>
          <w:i/>
          <w:iCs/>
          <w:lang w:val="en-US"/>
        </w:rPr>
        <w:t>The American Political Science Review</w:t>
      </w:r>
      <w:r w:rsidRPr="00964A8A">
        <w:rPr>
          <w:rFonts w:ascii="Aptos"/>
          <w:lang w:val="en-US"/>
        </w:rPr>
        <w:t xml:space="preserve"> 93(3): 609–24. doi:10.2307/2585577.</w:t>
      </w:r>
    </w:p>
    <w:p w14:paraId="301554A1" w14:textId="77777777" w:rsidR="00964A8A" w:rsidRPr="00964A8A" w:rsidRDefault="00964A8A" w:rsidP="00964A8A">
      <w:pPr>
        <w:pStyle w:val="Bibliografie"/>
        <w:rPr>
          <w:rFonts w:ascii="Aptos"/>
          <w:lang w:val="en-US"/>
        </w:rPr>
      </w:pPr>
      <w:r w:rsidRPr="00964A8A">
        <w:rPr>
          <w:rFonts w:ascii="Aptos"/>
          <w:lang w:val="en-US"/>
        </w:rPr>
        <w:t xml:space="preserve">Bowler, Shaun. 2008. ‘Electoral Systems’. In </w:t>
      </w:r>
      <w:r w:rsidRPr="00964A8A">
        <w:rPr>
          <w:rFonts w:ascii="Aptos"/>
          <w:i/>
          <w:iCs/>
          <w:lang w:val="en-US"/>
        </w:rPr>
        <w:t>The Oxford Handbook of Political Institutions</w:t>
      </w:r>
      <w:r w:rsidRPr="00964A8A">
        <w:rPr>
          <w:rFonts w:ascii="Aptos"/>
          <w:lang w:val="en-US"/>
        </w:rPr>
        <w:t>, Oxford Handbooks of Political Science, Oxford University Press. doi:10.1093/oxfordhb/9780199548460.003.0029.</w:t>
      </w:r>
    </w:p>
    <w:p w14:paraId="3D5C5EB5" w14:textId="77777777" w:rsidR="00964A8A" w:rsidRPr="00964A8A" w:rsidRDefault="00964A8A" w:rsidP="00964A8A">
      <w:pPr>
        <w:pStyle w:val="Bibliografie"/>
        <w:rPr>
          <w:rFonts w:ascii="Aptos"/>
          <w:lang w:val="en-US"/>
        </w:rPr>
      </w:pPr>
      <w:r w:rsidRPr="00964A8A">
        <w:rPr>
          <w:rFonts w:ascii="Aptos"/>
          <w:lang w:val="en-US"/>
        </w:rPr>
        <w:t xml:space="preserve">Clark, William Roberts, Matt Golder, and Sona Nadenichek Golder. 2012. </w:t>
      </w:r>
      <w:r w:rsidRPr="00964A8A">
        <w:rPr>
          <w:rFonts w:ascii="Aptos"/>
          <w:i/>
          <w:iCs/>
          <w:lang w:val="en-US"/>
        </w:rPr>
        <w:t>Principles of Comparative Politics</w:t>
      </w:r>
      <w:r w:rsidRPr="00964A8A">
        <w:rPr>
          <w:rFonts w:ascii="Aptos"/>
          <w:lang w:val="en-US"/>
        </w:rPr>
        <w:t>. 2nd edn London: CQ Press.</w:t>
      </w:r>
    </w:p>
    <w:p w14:paraId="1BAA24C4" w14:textId="77777777" w:rsidR="00964A8A" w:rsidRPr="00964A8A" w:rsidRDefault="00964A8A" w:rsidP="00964A8A">
      <w:pPr>
        <w:pStyle w:val="Bibliografie"/>
        <w:rPr>
          <w:rFonts w:ascii="Aptos"/>
          <w:lang w:val="en-US"/>
        </w:rPr>
      </w:pPr>
      <w:r w:rsidRPr="00964A8A">
        <w:rPr>
          <w:rFonts w:ascii="Aptos"/>
          <w:lang w:val="en-US"/>
        </w:rPr>
        <w:t xml:space="preserve">Colomer, Josep M. 2005. ‘It’s Parties That Choose Electoral Systems (or, Duverger’s Laws Upside Down)’. </w:t>
      </w:r>
      <w:r w:rsidRPr="00964A8A">
        <w:rPr>
          <w:rFonts w:ascii="Aptos"/>
          <w:i/>
          <w:iCs/>
          <w:lang w:val="en-US"/>
        </w:rPr>
        <w:t>Political studies</w:t>
      </w:r>
      <w:r w:rsidRPr="00964A8A">
        <w:rPr>
          <w:rFonts w:ascii="Aptos"/>
          <w:lang w:val="en-US"/>
        </w:rPr>
        <w:t xml:space="preserve"> 53(1): 1–21. doi:10.1111/j.1467-9248.2005.00514.x.</w:t>
      </w:r>
    </w:p>
    <w:p w14:paraId="695132F7" w14:textId="77777777" w:rsidR="00964A8A" w:rsidRPr="00964A8A" w:rsidRDefault="00964A8A" w:rsidP="00964A8A">
      <w:pPr>
        <w:pStyle w:val="Bibliografie"/>
        <w:rPr>
          <w:rFonts w:ascii="Aptos"/>
          <w:lang w:val="en-US"/>
        </w:rPr>
      </w:pPr>
      <w:r w:rsidRPr="00964A8A">
        <w:rPr>
          <w:rFonts w:ascii="Aptos"/>
          <w:lang w:val="en-US"/>
        </w:rPr>
        <w:t xml:space="preserve">CUSACK, THOMAS, TORBEN IVERSEN, and DAVID SOSKICE. 2010. ‘Coevolution of Capitalism and Political Representation: The Choice of Electoral Systems’. </w:t>
      </w:r>
      <w:r w:rsidRPr="00964A8A">
        <w:rPr>
          <w:rFonts w:ascii="Aptos"/>
          <w:i/>
          <w:iCs/>
          <w:lang w:val="en-US"/>
        </w:rPr>
        <w:t>The American political science review</w:t>
      </w:r>
      <w:r w:rsidRPr="00964A8A">
        <w:rPr>
          <w:rFonts w:ascii="Aptos"/>
          <w:lang w:val="en-US"/>
        </w:rPr>
        <w:t xml:space="preserve"> 104(2): 393–403. doi:10.1017/S0003055410000134.</w:t>
      </w:r>
    </w:p>
    <w:p w14:paraId="6B1D1DAC" w14:textId="77777777" w:rsidR="00964A8A" w:rsidRPr="00964A8A" w:rsidRDefault="00964A8A" w:rsidP="00964A8A">
      <w:pPr>
        <w:pStyle w:val="Bibliografie"/>
        <w:rPr>
          <w:rFonts w:ascii="Aptos"/>
          <w:lang w:val="en-US"/>
        </w:rPr>
      </w:pPr>
      <w:r w:rsidRPr="00964A8A">
        <w:rPr>
          <w:rFonts w:ascii="Aptos"/>
          <w:lang w:val="en-US"/>
        </w:rPr>
        <w:t xml:space="preserve">Katz, Richard S. 2005. ‘Why Are There So Many (or So Few) Electoral Reforms?’ In </w:t>
      </w:r>
      <w:r w:rsidRPr="00964A8A">
        <w:rPr>
          <w:rFonts w:ascii="Aptos"/>
          <w:i/>
          <w:iCs/>
          <w:lang w:val="en-US"/>
        </w:rPr>
        <w:t>The Politics of Electoral Systems</w:t>
      </w:r>
      <w:r w:rsidRPr="00964A8A">
        <w:rPr>
          <w:rFonts w:ascii="Aptos"/>
          <w:lang w:val="en-US"/>
        </w:rPr>
        <w:t>, eds Michael Gallagher and Paul Mitchell. Oxford University Press, 0. doi:10.1093/0199257566.003.0003.</w:t>
      </w:r>
    </w:p>
    <w:p w14:paraId="5708378F" w14:textId="77777777" w:rsidR="00964A8A" w:rsidRPr="00964A8A" w:rsidRDefault="00964A8A" w:rsidP="00964A8A">
      <w:pPr>
        <w:pStyle w:val="Bibliografie"/>
        <w:rPr>
          <w:rFonts w:ascii="Aptos"/>
          <w:lang w:val="en-US"/>
        </w:rPr>
      </w:pPr>
      <w:r w:rsidRPr="00964A8A">
        <w:rPr>
          <w:rFonts w:ascii="Aptos"/>
          <w:lang w:val="en-US"/>
        </w:rPr>
        <w:t xml:space="preserve">Rodden, Jonathan. 2009. ‘BACK TO THE FUTURE: ENDOGENOUS INSTITUTIONS AND COMPARATIVE POLITICS’. In </w:t>
      </w:r>
      <w:r w:rsidRPr="00964A8A">
        <w:rPr>
          <w:rFonts w:ascii="Aptos"/>
          <w:i/>
          <w:iCs/>
          <w:lang w:val="en-US"/>
        </w:rPr>
        <w:t>Comparative Politics</w:t>
      </w:r>
      <w:r w:rsidRPr="00964A8A">
        <w:rPr>
          <w:rFonts w:ascii="Aptos"/>
          <w:lang w:val="en-US"/>
        </w:rPr>
        <w:t>, United States: Cambridge University Press, 333–57. doi:10.1017/CBO9780511804007.014.</w:t>
      </w:r>
    </w:p>
    <w:p w14:paraId="1ACDDEDE" w14:textId="193E5657" w:rsidR="000A2FEE" w:rsidRDefault="004048BB" w:rsidP="00964A8A">
      <w:pPr>
        <w:pStyle w:val="Bibliografie"/>
      </w:pPr>
      <w:r>
        <w:fldChar w:fldCharType="end"/>
      </w:r>
    </w:p>
    <w:p w14:paraId="0782FDDB" w14:textId="77777777" w:rsidR="000A2FEE" w:rsidRDefault="000A2FEE">
      <w:r>
        <w:br w:type="page"/>
      </w:r>
    </w:p>
    <w:p w14:paraId="64E620A3" w14:textId="77777777" w:rsidR="000A2FEE" w:rsidRDefault="000A2FEE" w:rsidP="00964A8A">
      <w:pPr>
        <w:pStyle w:val="Bibliografie"/>
      </w:pPr>
    </w:p>
    <w:p w14:paraId="246030D6" w14:textId="0AE74246" w:rsidR="004048BB" w:rsidRDefault="000A2FEE" w:rsidP="00964A8A">
      <w:pPr>
        <w:pStyle w:val="Bibliografie"/>
      </w:pPr>
      <w:r>
        <w:t>One interpretation could be:</w:t>
      </w:r>
    </w:p>
    <w:p w14:paraId="32448D23" w14:textId="5596E3BD" w:rsidR="000A2FEE" w:rsidRDefault="000A2FEE" w:rsidP="000A2FEE">
      <w:r>
        <w:t xml:space="preserve">Politics is just about </w:t>
      </w:r>
      <w:proofErr w:type="gramStart"/>
      <w:r>
        <w:t>redistribution,</w:t>
      </w:r>
      <w:proofErr w:type="gramEnd"/>
      <w:r>
        <w:t xml:space="preserve"> electoral systems just create coalitions for redistribution. The whole discipline of social choice is about this.</w:t>
      </w:r>
    </w:p>
    <w:p w14:paraId="0FF08608" w14:textId="77777777" w:rsidR="000A2FEE" w:rsidRDefault="000A2FEE" w:rsidP="000A2FEE"/>
    <w:p w14:paraId="110A7A28" w14:textId="77777777" w:rsidR="000A2FEE" w:rsidRPr="000A2FEE" w:rsidRDefault="000A2FEE" w:rsidP="000A2FEE"/>
    <w:sectPr w:rsidR="000A2FEE" w:rsidRPr="000A2FEE">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Olivier Berg" w:date="2026-02-12T18:06:00Z" w:initials="OB">
    <w:p w14:paraId="402AB14C" w14:textId="77777777" w:rsidR="00C118C0" w:rsidRDefault="00C118C0" w:rsidP="00C118C0">
      <w:r>
        <w:rPr>
          <w:rStyle w:val="Verwijzingopmerking"/>
        </w:rPr>
        <w:annotationRef/>
      </w:r>
      <w:r>
        <w:rPr>
          <w:sz w:val="20"/>
          <w:szCs w:val="20"/>
        </w:rPr>
        <w:t>overall structure could be slightly better. At the start layout the structure of what the determinants are, even though the structure is nice (responding to yourself) for this specific question though could have been a bit clearer at the start.</w:t>
      </w:r>
    </w:p>
    <w:p w14:paraId="40E07877" w14:textId="77777777" w:rsidR="00C118C0" w:rsidRDefault="00C118C0" w:rsidP="00C118C0"/>
    <w:p w14:paraId="7E7A4E7C" w14:textId="77777777" w:rsidR="00C118C0" w:rsidRDefault="00C118C0" w:rsidP="00C118C0"/>
    <w:p w14:paraId="55C40735" w14:textId="77777777" w:rsidR="00C118C0" w:rsidRDefault="00C118C0" w:rsidP="00C118C0">
      <w:r>
        <w:rPr>
          <w:sz w:val="20"/>
          <w:szCs w:val="20"/>
        </w:rPr>
        <w:t>maybe look at democratic backsliding, electoral systems as a result of backsliding.</w:t>
      </w:r>
    </w:p>
  </w:comment>
  <w:comment w:id="1" w:author="Olivier Berg" w:date="2026-02-12T17:56:00Z" w:initials="OB">
    <w:p w14:paraId="32768CFC" w14:textId="6FF79741" w:rsidR="002A750C" w:rsidRDefault="002A750C" w:rsidP="002A750C">
      <w:r>
        <w:rPr>
          <w:rStyle w:val="Verwijzingopmerking"/>
        </w:rPr>
        <w:annotationRef/>
      </w:r>
      <w:r>
        <w:rPr>
          <w:sz w:val="20"/>
          <w:szCs w:val="20"/>
        </w:rPr>
        <w:t>can be a bit more technical on the definitions:</w:t>
      </w:r>
    </w:p>
    <w:p w14:paraId="24A67745" w14:textId="77777777" w:rsidR="002A750C" w:rsidRDefault="002A750C" w:rsidP="002A750C">
      <w:r>
        <w:rPr>
          <w:sz w:val="20"/>
          <w:szCs w:val="20"/>
        </w:rPr>
        <w:t>formula magnitude etc. could make it more clear</w:t>
      </w:r>
    </w:p>
  </w:comment>
  <w:comment w:id="2" w:author="Olivier Berg" w:date="2026-02-12T18:06:00Z" w:initials="OB">
    <w:p w14:paraId="1CB3CF3E" w14:textId="77777777" w:rsidR="00C118C0" w:rsidRDefault="00C118C0" w:rsidP="00C118C0">
      <w:r>
        <w:rPr>
          <w:rStyle w:val="Verwijzingopmerking"/>
        </w:rPr>
        <w:annotationRef/>
      </w:r>
      <w:r>
        <w:rPr>
          <w:sz w:val="20"/>
          <w:szCs w:val="20"/>
        </w:rPr>
        <w:t>Kreuzer kind of combines these in an empirical way, which would be interesting.</w:t>
      </w:r>
    </w:p>
    <w:p w14:paraId="5BC705F2" w14:textId="77777777" w:rsidR="00C118C0" w:rsidRDefault="00C118C0" w:rsidP="00C118C0"/>
  </w:comment>
  <w:comment w:id="3" w:author="Olivier Berg" w:date="2026-02-12T18:05:00Z" w:initials="OB">
    <w:p w14:paraId="2C40A667" w14:textId="72878A19" w:rsidR="00C118C0" w:rsidRDefault="00C118C0" w:rsidP="00C118C0">
      <w:r>
        <w:rPr>
          <w:rStyle w:val="Verwijzingopmerking"/>
        </w:rPr>
        <w:annotationRef/>
      </w:r>
      <w:r>
        <w:rPr>
          <w:sz w:val="20"/>
          <w:szCs w:val="20"/>
        </w:rPr>
        <w:t>When is the electoral system chosen? Was there more uncertainty in post-communism.</w:t>
      </w:r>
    </w:p>
    <w:p w14:paraId="473C9755" w14:textId="77777777" w:rsidR="00C118C0" w:rsidRDefault="00C118C0" w:rsidP="00C118C0"/>
    <w:p w14:paraId="2806A275" w14:textId="77777777" w:rsidR="00C118C0" w:rsidRDefault="00C118C0" w:rsidP="00C118C0">
      <w:r>
        <w:rPr>
          <w:sz w:val="20"/>
          <w:szCs w:val="20"/>
        </w:rPr>
        <w:t>If there is more uncertainty should you not go for the PR option, less risky.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5C40735" w15:done="0"/>
  <w15:commentEx w15:paraId="24A67745" w15:done="0"/>
  <w15:commentEx w15:paraId="5BC705F2" w15:done="0"/>
  <w15:commentEx w15:paraId="2806A27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31A0315" w16cex:dateUtc="2026-02-12T18:06:00Z"/>
  <w16cex:commentExtensible w16cex:durableId="32B58E3B" w16cex:dateUtc="2026-02-12T17:56:00Z"/>
  <w16cex:commentExtensible w16cex:durableId="18A6D7EE" w16cex:dateUtc="2026-02-12T18:06:00Z"/>
  <w16cex:commentExtensible w16cex:durableId="13C5B73A" w16cex:dateUtc="2026-02-12T18: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5C40735" w16cid:durableId="431A0315"/>
  <w16cid:commentId w16cid:paraId="24A67745" w16cid:durableId="32B58E3B"/>
  <w16cid:commentId w16cid:paraId="5BC705F2" w16cid:durableId="18A6D7EE"/>
  <w16cid:commentId w16cid:paraId="2806A275" w16cid:durableId="13C5B73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C6559"/>
    <w:multiLevelType w:val="hybridMultilevel"/>
    <w:tmpl w:val="DB34D400"/>
    <w:lvl w:ilvl="0" w:tplc="6A304112">
      <w:numFmt w:val="bullet"/>
      <w:lvlText w:val="-"/>
      <w:lvlJc w:val="left"/>
      <w:pPr>
        <w:ind w:left="720" w:hanging="360"/>
      </w:pPr>
      <w:rPr>
        <w:rFonts w:ascii="Aptos" w:eastAsiaTheme="minorEastAsia"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49F577F3"/>
    <w:multiLevelType w:val="hybridMultilevel"/>
    <w:tmpl w:val="13FAB028"/>
    <w:lvl w:ilvl="0" w:tplc="208E37E0">
      <w:numFmt w:val="bullet"/>
      <w:lvlText w:val="-"/>
      <w:lvlJc w:val="left"/>
      <w:pPr>
        <w:ind w:left="720" w:hanging="360"/>
      </w:pPr>
      <w:rPr>
        <w:rFonts w:ascii="Aptos" w:eastAsiaTheme="minorEastAsia" w:hAnsi="Aptos" w:cstheme="minorBidi"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776488231">
    <w:abstractNumId w:val="0"/>
  </w:num>
  <w:num w:numId="2" w16cid:durableId="115194478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livier Berg">
    <w15:presenceInfo w15:providerId="AD" w15:userId="S::mert5066@ox.ac.uk::59ec23b2-8096-405e-a796-8f49f8d6d9e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D71"/>
    <w:rsid w:val="000A2FEE"/>
    <w:rsid w:val="001475B9"/>
    <w:rsid w:val="00161071"/>
    <w:rsid w:val="00175D1A"/>
    <w:rsid w:val="001A211B"/>
    <w:rsid w:val="00210F75"/>
    <w:rsid w:val="002110D7"/>
    <w:rsid w:val="00216337"/>
    <w:rsid w:val="00254F12"/>
    <w:rsid w:val="002A750C"/>
    <w:rsid w:val="002F51FC"/>
    <w:rsid w:val="00315B44"/>
    <w:rsid w:val="00347F9A"/>
    <w:rsid w:val="004048BB"/>
    <w:rsid w:val="004646AA"/>
    <w:rsid w:val="00472816"/>
    <w:rsid w:val="004862AA"/>
    <w:rsid w:val="004D5591"/>
    <w:rsid w:val="00532C8B"/>
    <w:rsid w:val="0056027F"/>
    <w:rsid w:val="005C1D71"/>
    <w:rsid w:val="005E74AC"/>
    <w:rsid w:val="006301DC"/>
    <w:rsid w:val="006434C3"/>
    <w:rsid w:val="00667C71"/>
    <w:rsid w:val="00693CB8"/>
    <w:rsid w:val="006D48FD"/>
    <w:rsid w:val="00853DD7"/>
    <w:rsid w:val="00890490"/>
    <w:rsid w:val="00964A8A"/>
    <w:rsid w:val="009D7155"/>
    <w:rsid w:val="00A04679"/>
    <w:rsid w:val="00A514D1"/>
    <w:rsid w:val="00A548C8"/>
    <w:rsid w:val="00AA22CB"/>
    <w:rsid w:val="00AF0006"/>
    <w:rsid w:val="00B870B6"/>
    <w:rsid w:val="00BF65AE"/>
    <w:rsid w:val="00C118C0"/>
    <w:rsid w:val="00C53227"/>
    <w:rsid w:val="00C91300"/>
    <w:rsid w:val="00CB3FF4"/>
    <w:rsid w:val="00D477EA"/>
    <w:rsid w:val="00D918FF"/>
    <w:rsid w:val="00DA4276"/>
    <w:rsid w:val="00E44FE6"/>
    <w:rsid w:val="00E55FB1"/>
    <w:rsid w:val="00E944DD"/>
    <w:rsid w:val="00EB5577"/>
    <w:rsid w:val="00F01E0F"/>
    <w:rsid w:val="00FA3ACD"/>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E1D46A4"/>
  <w15:chartTrackingRefBased/>
  <w15:docId w15:val="{1FFF3620-D546-8D4C-A069-B8F58E6C2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nl-NL"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lang w:val="en-GB"/>
    </w:rPr>
  </w:style>
  <w:style w:type="paragraph" w:styleId="Kop1">
    <w:name w:val="heading 1"/>
    <w:basedOn w:val="Standaard"/>
    <w:next w:val="Standaard"/>
    <w:link w:val="Kop1Char"/>
    <w:uiPriority w:val="9"/>
    <w:qFormat/>
    <w:rsid w:val="005C1D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5C1D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5C1D71"/>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5C1D71"/>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5C1D71"/>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5C1D71"/>
    <w:pPr>
      <w:keepNext/>
      <w:keepLines/>
      <w:spacing w:before="4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5C1D71"/>
    <w:pPr>
      <w:keepNext/>
      <w:keepLines/>
      <w:spacing w:before="4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5C1D71"/>
    <w:pPr>
      <w:keepNext/>
      <w:keepLines/>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5C1D71"/>
    <w:pPr>
      <w:keepNext/>
      <w:keepLines/>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5C1D71"/>
    <w:rPr>
      <w:rFonts w:asciiTheme="majorHAnsi" w:eastAsiaTheme="majorEastAsia" w:hAnsiTheme="majorHAnsi" w:cstheme="majorBidi"/>
      <w:color w:val="0F4761" w:themeColor="accent1" w:themeShade="BF"/>
      <w:sz w:val="40"/>
      <w:szCs w:val="40"/>
      <w:lang w:val="en-GB"/>
    </w:rPr>
  </w:style>
  <w:style w:type="character" w:customStyle="1" w:styleId="Kop2Char">
    <w:name w:val="Kop 2 Char"/>
    <w:basedOn w:val="Standaardalinea-lettertype"/>
    <w:link w:val="Kop2"/>
    <w:uiPriority w:val="9"/>
    <w:semiHidden/>
    <w:rsid w:val="005C1D71"/>
    <w:rPr>
      <w:rFonts w:asciiTheme="majorHAnsi" w:eastAsiaTheme="majorEastAsia" w:hAnsiTheme="majorHAnsi" w:cstheme="majorBidi"/>
      <w:color w:val="0F4761" w:themeColor="accent1" w:themeShade="BF"/>
      <w:sz w:val="32"/>
      <w:szCs w:val="32"/>
      <w:lang w:val="en-GB"/>
    </w:rPr>
  </w:style>
  <w:style w:type="character" w:customStyle="1" w:styleId="Kop3Char">
    <w:name w:val="Kop 3 Char"/>
    <w:basedOn w:val="Standaardalinea-lettertype"/>
    <w:link w:val="Kop3"/>
    <w:uiPriority w:val="9"/>
    <w:semiHidden/>
    <w:rsid w:val="005C1D71"/>
    <w:rPr>
      <w:rFonts w:eastAsiaTheme="majorEastAsia" w:cstheme="majorBidi"/>
      <w:color w:val="0F4761" w:themeColor="accent1" w:themeShade="BF"/>
      <w:sz w:val="28"/>
      <w:szCs w:val="28"/>
      <w:lang w:val="en-GB"/>
    </w:rPr>
  </w:style>
  <w:style w:type="character" w:customStyle="1" w:styleId="Kop4Char">
    <w:name w:val="Kop 4 Char"/>
    <w:basedOn w:val="Standaardalinea-lettertype"/>
    <w:link w:val="Kop4"/>
    <w:uiPriority w:val="9"/>
    <w:semiHidden/>
    <w:rsid w:val="005C1D71"/>
    <w:rPr>
      <w:rFonts w:eastAsiaTheme="majorEastAsia" w:cstheme="majorBidi"/>
      <w:i/>
      <w:iCs/>
      <w:color w:val="0F4761" w:themeColor="accent1" w:themeShade="BF"/>
      <w:lang w:val="en-GB"/>
    </w:rPr>
  </w:style>
  <w:style w:type="character" w:customStyle="1" w:styleId="Kop5Char">
    <w:name w:val="Kop 5 Char"/>
    <w:basedOn w:val="Standaardalinea-lettertype"/>
    <w:link w:val="Kop5"/>
    <w:uiPriority w:val="9"/>
    <w:semiHidden/>
    <w:rsid w:val="005C1D71"/>
    <w:rPr>
      <w:rFonts w:eastAsiaTheme="majorEastAsia" w:cstheme="majorBidi"/>
      <w:color w:val="0F4761" w:themeColor="accent1" w:themeShade="BF"/>
      <w:lang w:val="en-GB"/>
    </w:rPr>
  </w:style>
  <w:style w:type="character" w:customStyle="1" w:styleId="Kop6Char">
    <w:name w:val="Kop 6 Char"/>
    <w:basedOn w:val="Standaardalinea-lettertype"/>
    <w:link w:val="Kop6"/>
    <w:uiPriority w:val="9"/>
    <w:semiHidden/>
    <w:rsid w:val="005C1D71"/>
    <w:rPr>
      <w:rFonts w:eastAsiaTheme="majorEastAsia" w:cstheme="majorBidi"/>
      <w:i/>
      <w:iCs/>
      <w:color w:val="595959" w:themeColor="text1" w:themeTint="A6"/>
      <w:lang w:val="en-GB"/>
    </w:rPr>
  </w:style>
  <w:style w:type="character" w:customStyle="1" w:styleId="Kop7Char">
    <w:name w:val="Kop 7 Char"/>
    <w:basedOn w:val="Standaardalinea-lettertype"/>
    <w:link w:val="Kop7"/>
    <w:uiPriority w:val="9"/>
    <w:semiHidden/>
    <w:rsid w:val="005C1D71"/>
    <w:rPr>
      <w:rFonts w:eastAsiaTheme="majorEastAsia" w:cstheme="majorBidi"/>
      <w:color w:val="595959" w:themeColor="text1" w:themeTint="A6"/>
      <w:lang w:val="en-GB"/>
    </w:rPr>
  </w:style>
  <w:style w:type="character" w:customStyle="1" w:styleId="Kop8Char">
    <w:name w:val="Kop 8 Char"/>
    <w:basedOn w:val="Standaardalinea-lettertype"/>
    <w:link w:val="Kop8"/>
    <w:uiPriority w:val="9"/>
    <w:semiHidden/>
    <w:rsid w:val="005C1D71"/>
    <w:rPr>
      <w:rFonts w:eastAsiaTheme="majorEastAsia" w:cstheme="majorBidi"/>
      <w:i/>
      <w:iCs/>
      <w:color w:val="272727" w:themeColor="text1" w:themeTint="D8"/>
      <w:lang w:val="en-GB"/>
    </w:rPr>
  </w:style>
  <w:style w:type="character" w:customStyle="1" w:styleId="Kop9Char">
    <w:name w:val="Kop 9 Char"/>
    <w:basedOn w:val="Standaardalinea-lettertype"/>
    <w:link w:val="Kop9"/>
    <w:uiPriority w:val="9"/>
    <w:semiHidden/>
    <w:rsid w:val="005C1D71"/>
    <w:rPr>
      <w:rFonts w:eastAsiaTheme="majorEastAsia" w:cstheme="majorBidi"/>
      <w:color w:val="272727" w:themeColor="text1" w:themeTint="D8"/>
      <w:lang w:val="en-GB"/>
    </w:rPr>
  </w:style>
  <w:style w:type="paragraph" w:styleId="Titel">
    <w:name w:val="Title"/>
    <w:basedOn w:val="Standaard"/>
    <w:next w:val="Standaard"/>
    <w:link w:val="TitelChar"/>
    <w:uiPriority w:val="10"/>
    <w:qFormat/>
    <w:rsid w:val="005C1D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5C1D71"/>
    <w:rPr>
      <w:rFonts w:asciiTheme="majorHAnsi" w:eastAsiaTheme="majorEastAsia" w:hAnsiTheme="majorHAnsi" w:cstheme="majorBidi"/>
      <w:spacing w:val="-10"/>
      <w:kern w:val="28"/>
      <w:sz w:val="56"/>
      <w:szCs w:val="56"/>
      <w:lang w:val="en-GB"/>
    </w:rPr>
  </w:style>
  <w:style w:type="paragraph" w:styleId="Ondertitel">
    <w:name w:val="Subtitle"/>
    <w:basedOn w:val="Standaard"/>
    <w:next w:val="Standaard"/>
    <w:link w:val="OndertitelChar"/>
    <w:uiPriority w:val="11"/>
    <w:qFormat/>
    <w:rsid w:val="005C1D71"/>
    <w:pPr>
      <w:numPr>
        <w:ilvl w:val="1"/>
      </w:numPr>
      <w:spacing w:after="160"/>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5C1D71"/>
    <w:rPr>
      <w:rFonts w:eastAsiaTheme="majorEastAsia" w:cstheme="majorBidi"/>
      <w:color w:val="595959" w:themeColor="text1" w:themeTint="A6"/>
      <w:spacing w:val="15"/>
      <w:sz w:val="28"/>
      <w:szCs w:val="28"/>
      <w:lang w:val="en-GB"/>
    </w:rPr>
  </w:style>
  <w:style w:type="paragraph" w:styleId="Citaat">
    <w:name w:val="Quote"/>
    <w:basedOn w:val="Standaard"/>
    <w:next w:val="Standaard"/>
    <w:link w:val="CitaatChar"/>
    <w:uiPriority w:val="29"/>
    <w:qFormat/>
    <w:rsid w:val="005C1D71"/>
    <w:pPr>
      <w:spacing w:before="160" w:after="160"/>
      <w:jc w:val="center"/>
    </w:pPr>
    <w:rPr>
      <w:i/>
      <w:iCs/>
      <w:color w:val="404040" w:themeColor="text1" w:themeTint="BF"/>
    </w:rPr>
  </w:style>
  <w:style w:type="character" w:customStyle="1" w:styleId="CitaatChar">
    <w:name w:val="Citaat Char"/>
    <w:basedOn w:val="Standaardalinea-lettertype"/>
    <w:link w:val="Citaat"/>
    <w:uiPriority w:val="29"/>
    <w:rsid w:val="005C1D71"/>
    <w:rPr>
      <w:i/>
      <w:iCs/>
      <w:color w:val="404040" w:themeColor="text1" w:themeTint="BF"/>
      <w:lang w:val="en-GB"/>
    </w:rPr>
  </w:style>
  <w:style w:type="paragraph" w:styleId="Lijstalinea">
    <w:name w:val="List Paragraph"/>
    <w:basedOn w:val="Standaard"/>
    <w:uiPriority w:val="34"/>
    <w:qFormat/>
    <w:rsid w:val="005C1D71"/>
    <w:pPr>
      <w:ind w:left="720"/>
      <w:contextualSpacing/>
    </w:pPr>
  </w:style>
  <w:style w:type="character" w:styleId="Intensievebenadrukking">
    <w:name w:val="Intense Emphasis"/>
    <w:basedOn w:val="Standaardalinea-lettertype"/>
    <w:uiPriority w:val="21"/>
    <w:qFormat/>
    <w:rsid w:val="005C1D71"/>
    <w:rPr>
      <w:i/>
      <w:iCs/>
      <w:color w:val="0F4761" w:themeColor="accent1" w:themeShade="BF"/>
    </w:rPr>
  </w:style>
  <w:style w:type="paragraph" w:styleId="Duidelijkcitaat">
    <w:name w:val="Intense Quote"/>
    <w:basedOn w:val="Standaard"/>
    <w:next w:val="Standaard"/>
    <w:link w:val="DuidelijkcitaatChar"/>
    <w:uiPriority w:val="30"/>
    <w:qFormat/>
    <w:rsid w:val="005C1D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5C1D71"/>
    <w:rPr>
      <w:i/>
      <w:iCs/>
      <w:color w:val="0F4761" w:themeColor="accent1" w:themeShade="BF"/>
      <w:lang w:val="en-GB"/>
    </w:rPr>
  </w:style>
  <w:style w:type="character" w:styleId="Intensieveverwijzing">
    <w:name w:val="Intense Reference"/>
    <w:basedOn w:val="Standaardalinea-lettertype"/>
    <w:uiPriority w:val="32"/>
    <w:qFormat/>
    <w:rsid w:val="005C1D71"/>
    <w:rPr>
      <w:b/>
      <w:bCs/>
      <w:smallCaps/>
      <w:color w:val="0F4761" w:themeColor="accent1" w:themeShade="BF"/>
      <w:spacing w:val="5"/>
    </w:rPr>
  </w:style>
  <w:style w:type="paragraph" w:styleId="Bibliografie">
    <w:name w:val="Bibliography"/>
    <w:basedOn w:val="Standaard"/>
    <w:next w:val="Standaard"/>
    <w:uiPriority w:val="37"/>
    <w:unhideWhenUsed/>
    <w:rsid w:val="004048BB"/>
    <w:pPr>
      <w:spacing w:after="240" w:line="240" w:lineRule="auto"/>
      <w:ind w:left="720" w:hanging="720"/>
    </w:pPr>
  </w:style>
  <w:style w:type="character" w:styleId="Verwijzingopmerking">
    <w:name w:val="annotation reference"/>
    <w:basedOn w:val="Standaardalinea-lettertype"/>
    <w:uiPriority w:val="99"/>
    <w:semiHidden/>
    <w:unhideWhenUsed/>
    <w:rsid w:val="002A750C"/>
    <w:rPr>
      <w:sz w:val="16"/>
      <w:szCs w:val="16"/>
    </w:rPr>
  </w:style>
  <w:style w:type="paragraph" w:styleId="Tekstopmerking">
    <w:name w:val="annotation text"/>
    <w:basedOn w:val="Standaard"/>
    <w:link w:val="TekstopmerkingChar"/>
    <w:uiPriority w:val="99"/>
    <w:semiHidden/>
    <w:unhideWhenUsed/>
    <w:rsid w:val="002A750C"/>
    <w:pPr>
      <w:spacing w:line="240" w:lineRule="auto"/>
    </w:pPr>
    <w:rPr>
      <w:sz w:val="20"/>
      <w:szCs w:val="20"/>
    </w:rPr>
  </w:style>
  <w:style w:type="character" w:customStyle="1" w:styleId="TekstopmerkingChar">
    <w:name w:val="Tekst opmerking Char"/>
    <w:basedOn w:val="Standaardalinea-lettertype"/>
    <w:link w:val="Tekstopmerking"/>
    <w:uiPriority w:val="99"/>
    <w:semiHidden/>
    <w:rsid w:val="002A750C"/>
    <w:rPr>
      <w:sz w:val="20"/>
      <w:szCs w:val="20"/>
      <w:lang w:val="en-GB"/>
    </w:rPr>
  </w:style>
  <w:style w:type="paragraph" w:styleId="Onderwerpvanopmerking">
    <w:name w:val="annotation subject"/>
    <w:basedOn w:val="Tekstopmerking"/>
    <w:next w:val="Tekstopmerking"/>
    <w:link w:val="OnderwerpvanopmerkingChar"/>
    <w:uiPriority w:val="99"/>
    <w:semiHidden/>
    <w:unhideWhenUsed/>
    <w:rsid w:val="002A750C"/>
    <w:rPr>
      <w:b/>
      <w:bCs/>
    </w:rPr>
  </w:style>
  <w:style w:type="character" w:customStyle="1" w:styleId="OnderwerpvanopmerkingChar">
    <w:name w:val="Onderwerp van opmerking Char"/>
    <w:basedOn w:val="TekstopmerkingChar"/>
    <w:link w:val="Onderwerpvanopmerking"/>
    <w:uiPriority w:val="99"/>
    <w:semiHidden/>
    <w:rsid w:val="002A750C"/>
    <w:rPr>
      <w:b/>
      <w:bCs/>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380</TotalTime>
  <Pages>6</Pages>
  <Words>4667</Words>
  <Characters>26561</Characters>
  <Application>Microsoft Office Word</Application>
  <DocSecurity>0</DocSecurity>
  <Lines>442</Lines>
  <Paragraphs>66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31162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Olivier Berg</dc:creator>
  <cp:keywords/>
  <dc:description/>
  <cp:lastModifiedBy>Olivier Berg</cp:lastModifiedBy>
  <cp:revision>27</cp:revision>
  <dcterms:created xsi:type="dcterms:W3CDTF">2026-02-10T12:26:00Z</dcterms:created>
  <dcterms:modified xsi:type="dcterms:W3CDTF">2026-02-12T18:07:00Z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id="1lsJtImR"/&gt;&lt;style id="http://www.zotero.org/styles/american-political-science-association" locale="en-GB" hasBibliography="1" bibliographyStyleHasBeenSet="1"/&gt;&lt;prefs&gt;&lt;pref name="fieldType" value=</vt:lpwstr>
  </property>
  <property fmtid="{D5CDD505-2E9C-101B-9397-08002B2CF9AE}" pid="3" name="ZOTERO_PREF_2">
    <vt:lpwstr>"Field"/&gt;&lt;/prefs&gt;&lt;/data&gt;</vt:lpwstr>
  </property>
</Properties>
</file>