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A0F5" w14:textId="6C548EF4" w:rsidR="00386367" w:rsidRPr="005C6C72" w:rsidRDefault="00184870" w:rsidP="00184870">
      <w:pPr>
        <w:spacing w:line="240" w:lineRule="auto"/>
        <w:rPr>
          <w:rFonts w:asciiTheme="majorHAnsi" w:hAnsiTheme="majorHAnsi" w:cstheme="majorHAnsi"/>
          <w:sz w:val="24"/>
          <w:szCs w:val="24"/>
          <w:lang w:val="en-GB"/>
        </w:rPr>
      </w:pPr>
      <w:r w:rsidRPr="005C6C72">
        <w:rPr>
          <w:rFonts w:asciiTheme="majorHAnsi" w:hAnsiTheme="majorHAnsi" w:cstheme="majorHAnsi"/>
          <w:sz w:val="24"/>
          <w:szCs w:val="24"/>
          <w:lang w:val="en-GB"/>
        </w:rPr>
        <w:t>How does education affect social attitudes and values?</w:t>
      </w:r>
    </w:p>
    <w:p w14:paraId="442FAB62" w14:textId="2CF92030" w:rsidR="00184870" w:rsidRPr="005C6C72" w:rsidRDefault="00184870" w:rsidP="00184870">
      <w:pPr>
        <w:spacing w:line="240" w:lineRule="auto"/>
        <w:rPr>
          <w:rFonts w:asciiTheme="majorHAnsi" w:hAnsiTheme="majorHAnsi" w:cstheme="majorHAnsi"/>
          <w:sz w:val="24"/>
          <w:szCs w:val="24"/>
          <w:lang w:val="en-GB"/>
        </w:rPr>
      </w:pPr>
      <w:r w:rsidRPr="005C6C72">
        <w:rPr>
          <w:rFonts w:asciiTheme="majorHAnsi" w:hAnsiTheme="majorHAnsi" w:cstheme="majorHAnsi"/>
          <w:sz w:val="24"/>
          <w:szCs w:val="24"/>
          <w:lang w:val="en-GB"/>
        </w:rPr>
        <w:t>Charlie Goldberg</w:t>
      </w:r>
    </w:p>
    <w:p w14:paraId="76CF1F77" w14:textId="69B2A241" w:rsidR="004B7E6C" w:rsidRPr="005C6C72" w:rsidRDefault="00184870" w:rsidP="004B7E6C">
      <w:pPr>
        <w:spacing w:line="240" w:lineRule="auto"/>
        <w:ind w:firstLine="720"/>
        <w:rPr>
          <w:rFonts w:asciiTheme="majorHAnsi" w:hAnsiTheme="majorHAnsi" w:cstheme="majorHAnsi"/>
          <w:sz w:val="24"/>
          <w:szCs w:val="24"/>
          <w:lang w:val="en-GB"/>
        </w:rPr>
      </w:pPr>
      <w:r w:rsidRPr="005C6C72">
        <w:rPr>
          <w:rFonts w:asciiTheme="majorHAnsi" w:hAnsiTheme="majorHAnsi" w:cstheme="majorHAnsi"/>
          <w:sz w:val="24"/>
          <w:szCs w:val="24"/>
          <w:lang w:val="en-GB"/>
        </w:rPr>
        <w:t xml:space="preserve">A consensus exists that education, and particularly tertiary education, is correlated with more liberal social values. (Stubager 2008; Surridge 2016; Scott 2022) and that higher education is predictive of fiscal conservatism, though less than its predictive value for social liberalism or libertarianism. Political scientists are far less clear, however, on if education effects social values or if it is a matter of correlation with a primary cause that serves to connect social attitudes and education by proxy. Among political scientists who argue that education causes more liberal social views, there is widespread disagreement on the mechanism by which this might take place, with political scientists generally arguing between psychodynamic explanations, cognitive explanations, and explanations centred around socialization. Education’s link to more conservative fiscal attitudes seems to be primarily a factor of allocation; that is, those who are better educated tend to have higher incomes, more stable jobs and do not </w:t>
      </w:r>
      <w:r w:rsidR="004B7E6C" w:rsidRPr="005C6C72">
        <w:rPr>
          <w:rFonts w:asciiTheme="majorHAnsi" w:hAnsiTheme="majorHAnsi" w:cstheme="majorHAnsi"/>
          <w:sz w:val="24"/>
          <w:szCs w:val="24"/>
          <w:lang w:val="en-GB"/>
        </w:rPr>
        <w:t>favour</w:t>
      </w:r>
      <w:r w:rsidRPr="005C6C72">
        <w:rPr>
          <w:rFonts w:asciiTheme="majorHAnsi" w:hAnsiTheme="majorHAnsi" w:cstheme="majorHAnsi"/>
          <w:sz w:val="24"/>
          <w:szCs w:val="24"/>
          <w:lang w:val="en-GB"/>
        </w:rPr>
        <w:t xml:space="preserve"> redistribution as much those with smaller incomes.</w:t>
      </w:r>
      <w:r w:rsidR="004B7E6C" w:rsidRPr="005C6C72">
        <w:rPr>
          <w:rFonts w:asciiTheme="majorHAnsi" w:hAnsiTheme="majorHAnsi" w:cstheme="majorHAnsi"/>
          <w:sz w:val="24"/>
          <w:szCs w:val="24"/>
          <w:lang w:val="en-GB"/>
        </w:rPr>
        <w:t xml:space="preserve"> </w:t>
      </w:r>
      <w:r w:rsidR="004B7E6C" w:rsidRPr="005C6C72">
        <w:rPr>
          <w:rFonts w:asciiTheme="majorHAnsi" w:hAnsiTheme="majorHAnsi" w:cstheme="majorHAnsi"/>
          <w:sz w:val="24"/>
          <w:szCs w:val="24"/>
          <w:lang w:val="en-GB"/>
        </w:rPr>
        <w:fldChar w:fldCharType="begin"/>
      </w:r>
      <w:r w:rsidR="004B7E6C" w:rsidRPr="005C6C72">
        <w:rPr>
          <w:rFonts w:asciiTheme="majorHAnsi" w:hAnsiTheme="majorHAnsi" w:cstheme="majorHAnsi"/>
          <w:sz w:val="24"/>
          <w:szCs w:val="24"/>
          <w:lang w:val="en-GB"/>
        </w:rPr>
        <w:instrText xml:space="preserve"> ADDIN ZOTERO_ITEM CSL_CITATION {"citationID":"6Aqwjx0n","properties":{"formattedCitation":"(Marshall 2016)","plainCitation":"(Marshall 2016)","noteIndex":0},"citationItems":[{"id":625,"uris":["http://zotero.org/users/11165534/items/UPQ3SBRI"],"itemData":{"id":625,"type":"article-journal","container-title":"The Journal of Politics","DOI":"10.1086/683848","ISSN":"0022-3816, 1468-2508","issue":"2","journalAbbreviation":"The Journal of Politics","language":"en","page":"382-395","source":"DOI.org (Crossref)","title":"Education and Voting Conservative: Evidence from a Major Schooling Reform in Great Britain","title-short":"Education and Voting Conservative","volume":"78","author":[{"family":"Marshall","given":"John"}],"issued":{"date-parts":[["2016",4]]}}}],"schema":"https://github.com/citation-style-language/schema/raw/master/csl-citation.json"} </w:instrText>
      </w:r>
      <w:r w:rsidR="004B7E6C" w:rsidRPr="005C6C72">
        <w:rPr>
          <w:rFonts w:asciiTheme="majorHAnsi" w:hAnsiTheme="majorHAnsi" w:cstheme="majorHAnsi"/>
          <w:sz w:val="24"/>
          <w:szCs w:val="24"/>
          <w:lang w:val="en-GB"/>
        </w:rPr>
        <w:fldChar w:fldCharType="separate"/>
      </w:r>
      <w:r w:rsidR="004B7E6C" w:rsidRPr="005C6C72">
        <w:rPr>
          <w:rFonts w:asciiTheme="majorHAnsi" w:hAnsiTheme="majorHAnsi" w:cstheme="majorHAnsi"/>
          <w:noProof/>
          <w:sz w:val="24"/>
          <w:szCs w:val="24"/>
          <w:lang w:val="en-GB"/>
        </w:rPr>
        <w:t>(Marshall 2016)</w:t>
      </w:r>
      <w:r w:rsidR="004B7E6C" w:rsidRPr="005C6C72">
        <w:rPr>
          <w:rFonts w:asciiTheme="majorHAnsi" w:hAnsiTheme="majorHAnsi" w:cstheme="majorHAnsi"/>
          <w:sz w:val="24"/>
          <w:szCs w:val="24"/>
          <w:lang w:val="en-GB"/>
        </w:rPr>
        <w:fldChar w:fldCharType="end"/>
      </w:r>
      <w:r w:rsidRPr="005C6C72">
        <w:rPr>
          <w:rFonts w:asciiTheme="majorHAnsi" w:hAnsiTheme="majorHAnsi" w:cstheme="majorHAnsi"/>
          <w:sz w:val="24"/>
          <w:szCs w:val="24"/>
          <w:lang w:val="en-GB"/>
        </w:rPr>
        <w:t xml:space="preserve"> But education’s link to more liberal social attitudes, while partially explained by self-selection at the tertiary level and parental education and attitude, is best explained by the socialization effect of education itself, even if exact socialization mechanisms are </w:t>
      </w:r>
      <w:r w:rsidR="004B7E6C" w:rsidRPr="005C6C72">
        <w:rPr>
          <w:rFonts w:asciiTheme="majorHAnsi" w:hAnsiTheme="majorHAnsi" w:cstheme="majorHAnsi"/>
          <w:sz w:val="24"/>
          <w:szCs w:val="24"/>
          <w:lang w:val="en-GB"/>
        </w:rPr>
        <w:t>underexplored</w:t>
      </w:r>
      <w:r w:rsidRPr="005C6C72">
        <w:rPr>
          <w:rFonts w:asciiTheme="majorHAnsi" w:hAnsiTheme="majorHAnsi" w:cstheme="majorHAnsi"/>
          <w:sz w:val="24"/>
          <w:szCs w:val="24"/>
          <w:lang w:val="en-GB"/>
        </w:rPr>
        <w:t>.</w:t>
      </w:r>
    </w:p>
    <w:p w14:paraId="0F803CCA" w14:textId="6C53FEEB" w:rsidR="008A6BA0" w:rsidRPr="005C6C72" w:rsidRDefault="004B7E6C" w:rsidP="008A6BA0">
      <w:pPr>
        <w:spacing w:line="240" w:lineRule="auto"/>
        <w:ind w:firstLine="720"/>
        <w:rPr>
          <w:rFonts w:asciiTheme="majorHAnsi" w:hAnsiTheme="majorHAnsi" w:cstheme="majorHAnsi"/>
          <w:sz w:val="24"/>
          <w:szCs w:val="24"/>
          <w:lang w:val="en-GB"/>
        </w:rPr>
      </w:pPr>
      <w:r w:rsidRPr="005C6C72">
        <w:rPr>
          <w:rFonts w:asciiTheme="majorHAnsi" w:hAnsiTheme="majorHAnsi" w:cstheme="majorHAnsi"/>
          <w:sz w:val="24"/>
          <w:szCs w:val="24"/>
          <w:lang w:val="en-GB"/>
        </w:rPr>
        <w:t xml:space="preserve">Triggered by pioneering studies by </w:t>
      </w:r>
      <w:proofErr w:type="spellStart"/>
      <w:r w:rsidRPr="005C6C72">
        <w:rPr>
          <w:rFonts w:asciiTheme="majorHAnsi" w:hAnsiTheme="majorHAnsi" w:cstheme="majorHAnsi"/>
          <w:sz w:val="24"/>
          <w:szCs w:val="24"/>
          <w:lang w:val="en-GB"/>
        </w:rPr>
        <w:t>Lipset</w:t>
      </w:r>
      <w:proofErr w:type="spellEnd"/>
      <w:r w:rsidRPr="005C6C72">
        <w:rPr>
          <w:rFonts w:asciiTheme="majorHAnsi" w:hAnsiTheme="majorHAnsi" w:cstheme="majorHAnsi"/>
          <w:sz w:val="24"/>
          <w:szCs w:val="24"/>
          <w:lang w:val="en-GB"/>
        </w:rPr>
        <w:t xml:space="preserve"> (1959) and Inglehart (1989), political scientists in the United States, the UK, and Europe have recognized that the traditional left-right axis is being supplemented by a “second dimension” of analysis, defined variously as social values or authoritarianism. As opposed to the left-right axis, which is defied by a desire for redistribution and recognition of economic inequalities in society, the libertarian/authoritarian axis revolves around belief in or opposition to hierarchy. Political scientists have examined how education is correlated with and effects people social attitudes and authoritarian beliefs; they’ve done so by focusing, variously, on number of years in education (Marshall 2016), attainment of a secondary or tertiary degree, and on what field a tertiary degree was achieved in. (Surridge 2016)</w:t>
      </w:r>
      <w:r w:rsidR="008A6BA0" w:rsidRPr="005C6C72">
        <w:rPr>
          <w:rFonts w:asciiTheme="majorHAnsi" w:hAnsiTheme="majorHAnsi" w:cstheme="majorHAnsi"/>
          <w:sz w:val="24"/>
          <w:szCs w:val="24"/>
          <w:lang w:val="en-GB"/>
        </w:rPr>
        <w:t xml:space="preserve">. Those who attribute a psychodynamic explanation argue that education grants degree-holders a sense of greater control </w:t>
      </w:r>
      <w:r w:rsidR="00853F4D" w:rsidRPr="005C6C72">
        <w:rPr>
          <w:rFonts w:asciiTheme="majorHAnsi" w:hAnsiTheme="majorHAnsi" w:cstheme="majorHAnsi"/>
          <w:sz w:val="24"/>
          <w:szCs w:val="24"/>
          <w:lang w:val="en-GB"/>
        </w:rPr>
        <w:t xml:space="preserve">or mastery </w:t>
      </w:r>
      <w:r w:rsidR="008A6BA0" w:rsidRPr="005C6C72">
        <w:rPr>
          <w:rFonts w:asciiTheme="majorHAnsi" w:hAnsiTheme="majorHAnsi" w:cstheme="majorHAnsi"/>
          <w:sz w:val="24"/>
          <w:szCs w:val="24"/>
          <w:lang w:val="en-GB"/>
        </w:rPr>
        <w:t xml:space="preserve">over their lives, giving them less insecurity and making them more tolerant. </w:t>
      </w:r>
      <w:r w:rsidR="00853F4D" w:rsidRPr="005C6C72">
        <w:rPr>
          <w:rFonts w:asciiTheme="majorHAnsi" w:hAnsiTheme="majorHAnsi" w:cstheme="majorHAnsi"/>
          <w:sz w:val="24"/>
          <w:szCs w:val="24"/>
          <w:lang w:val="en-GB"/>
        </w:rPr>
        <w:t xml:space="preserve">Cognitive explanations instead argue that the greater cognitive ability attained in education allows those with more experience in school to both assimilate more world experiences and be able to understand and sympathize with a wider basis of human experiences, decreasing intolerance and belief in hierarchy. Explanations centred around socialization argue that in school students are either directly taught libertarian values or otherwise conform to their peers and teachers’ libertarian </w:t>
      </w:r>
      <w:proofErr w:type="gramStart"/>
      <w:r w:rsidR="00853F4D" w:rsidRPr="005C6C72">
        <w:rPr>
          <w:rFonts w:asciiTheme="majorHAnsi" w:hAnsiTheme="majorHAnsi" w:cstheme="majorHAnsi"/>
          <w:sz w:val="24"/>
          <w:szCs w:val="24"/>
          <w:lang w:val="en-GB"/>
        </w:rPr>
        <w:t>values, and</w:t>
      </w:r>
      <w:proofErr w:type="gramEnd"/>
      <w:r w:rsidR="00853F4D" w:rsidRPr="005C6C72">
        <w:rPr>
          <w:rFonts w:asciiTheme="majorHAnsi" w:hAnsiTheme="majorHAnsi" w:cstheme="majorHAnsi"/>
          <w:sz w:val="24"/>
          <w:szCs w:val="24"/>
          <w:lang w:val="en-GB"/>
        </w:rPr>
        <w:t xml:space="preserve"> thus emerge out of school with more libertarian values. </w:t>
      </w:r>
    </w:p>
    <w:p w14:paraId="36DC96BD" w14:textId="77777777" w:rsidR="008A6BA0" w:rsidRPr="005C6C72" w:rsidRDefault="004B7E6C" w:rsidP="008A6BA0">
      <w:pPr>
        <w:spacing w:line="240" w:lineRule="auto"/>
        <w:ind w:firstLine="720"/>
        <w:rPr>
          <w:rFonts w:asciiTheme="majorHAnsi" w:hAnsiTheme="majorHAnsi" w:cstheme="majorHAnsi"/>
          <w:sz w:val="24"/>
          <w:szCs w:val="24"/>
          <w:lang w:val="en-GB"/>
        </w:rPr>
      </w:pPr>
      <w:r w:rsidRPr="005C6C72">
        <w:rPr>
          <w:rFonts w:asciiTheme="majorHAnsi" w:hAnsiTheme="majorHAnsi" w:cstheme="majorHAnsi"/>
          <w:sz w:val="24"/>
          <w:szCs w:val="24"/>
          <w:lang w:val="en-GB"/>
        </w:rPr>
        <w:t xml:space="preserve">Education’s correlation with liberal or libertarian social values is clearly established, and a close look at </w:t>
      </w:r>
      <w:proofErr w:type="spellStart"/>
      <w:r w:rsidRPr="005C6C72">
        <w:rPr>
          <w:rFonts w:asciiTheme="majorHAnsi" w:hAnsiTheme="majorHAnsi" w:cstheme="majorHAnsi"/>
          <w:sz w:val="24"/>
          <w:szCs w:val="24"/>
          <w:lang w:val="en-GB"/>
        </w:rPr>
        <w:t>longitudal</w:t>
      </w:r>
      <w:proofErr w:type="spellEnd"/>
      <w:r w:rsidRPr="005C6C72">
        <w:rPr>
          <w:rFonts w:asciiTheme="majorHAnsi" w:hAnsiTheme="majorHAnsi" w:cstheme="majorHAnsi"/>
          <w:sz w:val="24"/>
          <w:szCs w:val="24"/>
          <w:lang w:val="en-GB"/>
        </w:rPr>
        <w:t xml:space="preserve"> studies shows that it directly affects more liberal social values through socialization. People with more education (those with, for </w:t>
      </w:r>
      <w:r w:rsidRPr="005C6C72">
        <w:rPr>
          <w:rFonts w:asciiTheme="majorHAnsi" w:hAnsiTheme="majorHAnsi" w:cstheme="majorHAnsi"/>
          <w:sz w:val="24"/>
          <w:szCs w:val="24"/>
          <w:lang w:val="en-GB"/>
        </w:rPr>
        <w:lastRenderedPageBreak/>
        <w:t xml:space="preserve">example, undergraduate or post-graduate degrees as opposed to those with degrees from secondary school or without a secondary education) tend to have more liberal social attitudes, and these liberal social attitudes are expressed in a higher propensity to vote for </w:t>
      </w:r>
      <w:r w:rsidR="008A6BA0" w:rsidRPr="005C6C72">
        <w:rPr>
          <w:rFonts w:asciiTheme="majorHAnsi" w:hAnsiTheme="majorHAnsi" w:cstheme="majorHAnsi"/>
          <w:sz w:val="24"/>
          <w:szCs w:val="24"/>
          <w:lang w:val="en-GB"/>
        </w:rPr>
        <w:t>left-wing parties, or, increasingly, green and left-libertarian parties. This pattern is true across western European democracies, the United Kingdom, and the United States. This is significant as since the post-war period increasingly higher percentages of younger cohorts, and an increasingly higher share of the workforce, have attained advanced educations. (Perrett, 2021; Caughey, O’Grady and Warshaw 2019). This has been accompanied by degree-holders themselves becoming more liberal, at least in the United Kingdom. (Perrett 2018) As an example of the large differences found for those with education, achieving a university degree was found to lead to a reduction in authoritarian attitudes of around 0.3 of a standard deviation. (Scott 2022)</w:t>
      </w:r>
    </w:p>
    <w:p w14:paraId="1F8B83AC" w14:textId="3DD6EDEE" w:rsidR="00853F4D" w:rsidRPr="005C6C72" w:rsidRDefault="00853F4D" w:rsidP="008A6BA0">
      <w:pPr>
        <w:spacing w:line="240" w:lineRule="auto"/>
        <w:ind w:firstLine="720"/>
        <w:rPr>
          <w:rFonts w:asciiTheme="majorHAnsi" w:hAnsiTheme="majorHAnsi" w:cstheme="majorHAnsi"/>
          <w:sz w:val="24"/>
          <w:szCs w:val="24"/>
          <w:lang w:val="en-GB"/>
        </w:rPr>
      </w:pPr>
      <w:r w:rsidRPr="005C6C72">
        <w:rPr>
          <w:rFonts w:asciiTheme="majorHAnsi" w:hAnsiTheme="majorHAnsi" w:cstheme="majorHAnsi"/>
          <w:sz w:val="24"/>
          <w:szCs w:val="24"/>
          <w:lang w:val="en-GB"/>
        </w:rPr>
        <w:t>Without longitudinal studies it is difficult to assess whether education is causally related to more liberal social attitudes. It could be that students who decide to enter tertiary education are already more socially liberal. Or it could be that parental attitudes help to determine how many years of schooling a child receives and also plays a large part in determining the child’s beliefs. But Scott (2022), applying longitudinal modelling techniques to data from the 1970 British cohort study, finds that achieving a degree in and of itself, beyond self-selection and parental attitudes, causes more liberal social attitudes, and also triggers a smaller increase in economic conservatism which can be attributed to a higher socio-economic position made available through education leading to a desire for lesser redistribution (Surridge 2016; Marshall 2016). It also leads to a reduction in racial prejudice, connected to more libertarian attitudes.</w:t>
      </w:r>
    </w:p>
    <w:p w14:paraId="73CEE2C7" w14:textId="75A52A6D" w:rsidR="008716D0" w:rsidRPr="005C6C72" w:rsidRDefault="008716D0" w:rsidP="008A6BA0">
      <w:pPr>
        <w:spacing w:line="240" w:lineRule="auto"/>
        <w:ind w:firstLine="720"/>
        <w:rPr>
          <w:rFonts w:asciiTheme="majorHAnsi" w:hAnsiTheme="majorHAnsi" w:cstheme="majorHAnsi"/>
          <w:sz w:val="24"/>
          <w:szCs w:val="24"/>
          <w:lang w:val="en-GB"/>
        </w:rPr>
      </w:pPr>
      <w:r w:rsidRPr="005C6C72">
        <w:rPr>
          <w:rFonts w:asciiTheme="majorHAnsi" w:hAnsiTheme="majorHAnsi" w:cstheme="majorHAnsi"/>
          <w:sz w:val="24"/>
          <w:szCs w:val="24"/>
          <w:lang w:val="en-GB"/>
        </w:rPr>
        <w:t xml:space="preserve">Once we have determined that education has a direct and significant effect on social views, we must locate the mechanism by which this has happened. Psychodynamics have, as of late, been ruled out by political scientists by finding that self-mastery is only weakly correlated to social liberalism, when it is correlated at all; and that, further, even when controlling for psychodynamic factors, the direct effect of educational attainment on social liberalism remains strong. (Surridge 2016) </w:t>
      </w:r>
    </w:p>
    <w:p w14:paraId="4C7B5256" w14:textId="7D744DAE" w:rsidR="008716D0" w:rsidRPr="005C6C72" w:rsidRDefault="008716D0" w:rsidP="008A6BA0">
      <w:pPr>
        <w:spacing w:line="240" w:lineRule="auto"/>
        <w:ind w:firstLine="720"/>
        <w:rPr>
          <w:rFonts w:asciiTheme="majorHAnsi" w:hAnsiTheme="majorHAnsi" w:cstheme="majorHAnsi"/>
          <w:sz w:val="24"/>
          <w:szCs w:val="24"/>
          <w:lang w:val="en-GB"/>
        </w:rPr>
      </w:pPr>
      <w:r w:rsidRPr="005C6C72">
        <w:rPr>
          <w:rFonts w:asciiTheme="majorHAnsi" w:hAnsiTheme="majorHAnsi" w:cstheme="majorHAnsi"/>
          <w:sz w:val="24"/>
          <w:szCs w:val="24"/>
          <w:lang w:val="en-GB"/>
        </w:rPr>
        <w:t xml:space="preserve">Since political scientists generally assume that the growth in cognitive ability will be uniform across subjects, then libertarian values will be relatively uniform across subject matters. But students that pursue degrees in the humanities and social sciences, or in creative arts (degrees that are presumed to deal with the world less instrumentally and be more focused on people) tend to be more socially liberal; but people with the same degree – a bachelor’s – in STEM focused topics or especially in business tend to be less socially liberal. And studies controlling for measured cognitive ability like language and math ability at age 10, found that cognitive ability had weak, positive, and significant, effects on social liberalism, but could not explain the effect of education itself on social liberalism, which remains strong even once controlling for cognitive ability. Thus while it can be difficult to separate between socialization and cognitive models, evidence available seems to suggest that rather it being education itself </w:t>
      </w:r>
      <w:r w:rsidRPr="005C6C72">
        <w:rPr>
          <w:rFonts w:asciiTheme="majorHAnsi" w:hAnsiTheme="majorHAnsi" w:cstheme="majorHAnsi"/>
          <w:sz w:val="24"/>
          <w:szCs w:val="24"/>
          <w:lang w:val="en-GB"/>
        </w:rPr>
        <w:lastRenderedPageBreak/>
        <w:t>creating more cognitive sophistication education, and the type of education people receive, promote more socially liberal attitudes to the world. (Stubager 2008)</w:t>
      </w:r>
    </w:p>
    <w:p w14:paraId="0C782C4B" w14:textId="2A702A6C" w:rsidR="007126E8" w:rsidRPr="005C6C72" w:rsidRDefault="007126E8" w:rsidP="007126E8">
      <w:pPr>
        <w:spacing w:line="240" w:lineRule="auto"/>
        <w:rPr>
          <w:rFonts w:asciiTheme="majorHAnsi" w:hAnsiTheme="majorHAnsi" w:cstheme="majorHAnsi"/>
          <w:sz w:val="24"/>
          <w:szCs w:val="24"/>
          <w:lang w:val="en-GB"/>
        </w:rPr>
      </w:pPr>
      <w:r w:rsidRPr="005C6C72">
        <w:rPr>
          <w:rFonts w:asciiTheme="majorHAnsi" w:hAnsiTheme="majorHAnsi" w:cstheme="majorHAnsi"/>
          <w:sz w:val="24"/>
          <w:szCs w:val="24"/>
          <w:lang w:val="en-GB"/>
        </w:rPr>
        <w:tab/>
        <w:t xml:space="preserve">Education’s effect on fiscal values </w:t>
      </w:r>
      <w:proofErr w:type="gramStart"/>
      <w:r w:rsidRPr="005C6C72">
        <w:rPr>
          <w:rFonts w:asciiTheme="majorHAnsi" w:hAnsiTheme="majorHAnsi" w:cstheme="majorHAnsi"/>
          <w:sz w:val="24"/>
          <w:szCs w:val="24"/>
          <w:lang w:val="en-GB"/>
        </w:rPr>
        <w:t>are</w:t>
      </w:r>
      <w:proofErr w:type="gramEnd"/>
      <w:r w:rsidRPr="005C6C72">
        <w:rPr>
          <w:rFonts w:asciiTheme="majorHAnsi" w:hAnsiTheme="majorHAnsi" w:cstheme="majorHAnsi"/>
          <w:sz w:val="24"/>
          <w:szCs w:val="24"/>
          <w:lang w:val="en-GB"/>
        </w:rPr>
        <w:t xml:space="preserve"> more complicated. They can depend on what kind of education an individual has received. Individuals who study economics or business tend to have more conservative views on economics then those who study arts, humanities or social science. (Stubager 2008) But when it comes to education’s effect as a whole, allocation sems to be a stronger predictor then socialization. While </w:t>
      </w:r>
      <w:proofErr w:type="spellStart"/>
      <w:r w:rsidRPr="005C6C72">
        <w:rPr>
          <w:rFonts w:asciiTheme="majorHAnsi" w:hAnsiTheme="majorHAnsi" w:cstheme="majorHAnsi"/>
          <w:sz w:val="24"/>
          <w:szCs w:val="24"/>
          <w:lang w:val="en-GB"/>
        </w:rPr>
        <w:t>Kitschelt</w:t>
      </w:r>
      <w:proofErr w:type="spellEnd"/>
      <w:r w:rsidRPr="005C6C72">
        <w:rPr>
          <w:rFonts w:asciiTheme="majorHAnsi" w:hAnsiTheme="majorHAnsi" w:cstheme="majorHAnsi"/>
          <w:sz w:val="24"/>
          <w:szCs w:val="24"/>
          <w:lang w:val="en-GB"/>
        </w:rPr>
        <w:t xml:space="preserve"> (1994) predicted the education might socialize people into supporting more laissez faire economic policies, he also asserted that the increasing autonomy that highly educated individuals enjoy in jobs would also drive them to support more laissez faire policies. This aligns with Beck (1993)’s theory of reflective modernity or post-modernity. But using the median voter theory also seems to work relatively well as an explanation for education’s </w:t>
      </w:r>
      <w:proofErr w:type="spellStart"/>
      <w:r w:rsidRPr="005C6C72">
        <w:rPr>
          <w:rFonts w:asciiTheme="majorHAnsi" w:hAnsiTheme="majorHAnsi" w:cstheme="majorHAnsi"/>
          <w:sz w:val="24"/>
          <w:szCs w:val="24"/>
          <w:lang w:val="en-GB"/>
        </w:rPr>
        <w:t>affect</w:t>
      </w:r>
      <w:proofErr w:type="spellEnd"/>
      <w:r w:rsidRPr="005C6C72">
        <w:rPr>
          <w:rFonts w:asciiTheme="majorHAnsi" w:hAnsiTheme="majorHAnsi" w:cstheme="majorHAnsi"/>
          <w:sz w:val="24"/>
          <w:szCs w:val="24"/>
          <w:lang w:val="en-GB"/>
        </w:rPr>
        <w:t xml:space="preserve"> on fiscal conservatism. (Marshall 2016) This especially seems to be the case earlier on, given that in recent years education’s link to economic conservatism has weakened, at least in the United Kingdom (Perrett 2018). Marshall uses the case of a school reform in England in 1947 which forced many students to stay in secondary school for one year </w:t>
      </w:r>
      <w:proofErr w:type="spellStart"/>
      <w:r w:rsidRPr="005C6C72">
        <w:rPr>
          <w:rFonts w:asciiTheme="majorHAnsi" w:hAnsiTheme="majorHAnsi" w:cstheme="majorHAnsi"/>
          <w:sz w:val="24"/>
          <w:szCs w:val="24"/>
          <w:lang w:val="en-GB"/>
        </w:rPr>
        <w:t>then</w:t>
      </w:r>
      <w:proofErr w:type="spellEnd"/>
      <w:r w:rsidRPr="005C6C72">
        <w:rPr>
          <w:rFonts w:asciiTheme="majorHAnsi" w:hAnsiTheme="majorHAnsi" w:cstheme="majorHAnsi"/>
          <w:sz w:val="24"/>
          <w:szCs w:val="24"/>
          <w:lang w:val="en-GB"/>
        </w:rPr>
        <w:t xml:space="preserve"> they otherwise would have – which allows for the dismissal of the idea that self-selection might predict both years spent in education and conservative economic attitudes. Those students forced to stay in school ended up having higher incomes, and thus during their working lives (though less so after the age of 60 years old or near retirement age) were 12 percent more likely to vote for Conservatives, and they were more likely as well to form stable partisan commitments to the Conservative party and to identify as conservatives.</w:t>
      </w:r>
    </w:p>
    <w:p w14:paraId="41206A67" w14:textId="77777777" w:rsidR="007126E8" w:rsidRPr="005C6C72" w:rsidRDefault="007126E8" w:rsidP="008716D0">
      <w:pPr>
        <w:spacing w:line="240" w:lineRule="auto"/>
        <w:rPr>
          <w:rFonts w:asciiTheme="majorHAnsi" w:hAnsiTheme="majorHAnsi" w:cstheme="majorHAnsi"/>
          <w:sz w:val="24"/>
          <w:szCs w:val="24"/>
          <w:lang w:val="en-GB"/>
        </w:rPr>
      </w:pPr>
    </w:p>
    <w:p w14:paraId="5107FF8C" w14:textId="72B98F43" w:rsidR="003A1716" w:rsidRPr="005C6C72" w:rsidRDefault="003A1716" w:rsidP="003A1716">
      <w:pPr>
        <w:spacing w:line="240" w:lineRule="auto"/>
        <w:ind w:firstLine="720"/>
        <w:rPr>
          <w:rFonts w:asciiTheme="majorHAnsi" w:hAnsiTheme="majorHAnsi" w:cstheme="majorHAnsi"/>
          <w:sz w:val="24"/>
          <w:szCs w:val="24"/>
        </w:rPr>
      </w:pPr>
      <w:r w:rsidRPr="005C6C72">
        <w:rPr>
          <w:rFonts w:asciiTheme="majorHAnsi" w:hAnsiTheme="majorHAnsi" w:cstheme="majorHAnsi"/>
          <w:sz w:val="24"/>
          <w:szCs w:val="24"/>
        </w:rPr>
        <w:t xml:space="preserve">Education's correlation with more liberal social values and fiscal conservatism is well-established, but evidence demonstrates that this relationship is causal, not correlational, and occurs through socialization, and to a lesser degree, allocation in the case of fiscal attitudes. While political scientists have debated between psychodynamic, cognitive, and socialization explanations for education's liberalizing effect on social attitudes, the available evidence points most strongly toward socialization as the primary mechanism -- even as the exact processes through which this socialization occurs remain underexplored. Education's link to fiscal conservatism, meanwhile, operates primarily through allocation effects: higher education leads to higher incomes and more stable employment, which reduce support for redistribution. Though self-selection and parental attitudes explain some of the relationship between education and liberal social values, longitudinal studies confirm that tertiary education itself directly causes more libertarian attitudes, with effects varying by field of study. Much work remains to fully understand the mechanisms through which educational experiences produce these attitudinal changes, as while socialization has been established social scientists have not determined means by which to measure whether this is true direct provision of teaching which promotes libertarian or liberal values or socialization promoted by conformity with peers. </w:t>
      </w:r>
    </w:p>
    <w:p w14:paraId="20633921" w14:textId="77777777" w:rsidR="003A1716" w:rsidRPr="005C6C72" w:rsidRDefault="003A1716" w:rsidP="003A1716">
      <w:pPr>
        <w:spacing w:line="240" w:lineRule="auto"/>
        <w:ind w:firstLine="720"/>
        <w:rPr>
          <w:rFonts w:asciiTheme="majorHAnsi" w:hAnsiTheme="majorHAnsi" w:cstheme="majorHAnsi"/>
          <w:sz w:val="24"/>
          <w:szCs w:val="24"/>
        </w:rPr>
      </w:pPr>
    </w:p>
    <w:p w14:paraId="4BB81DE5" w14:textId="77777777" w:rsidR="007E16A9" w:rsidRPr="005C6C72" w:rsidRDefault="007E16A9" w:rsidP="003A1716">
      <w:pPr>
        <w:spacing w:line="240" w:lineRule="auto"/>
        <w:ind w:firstLine="720"/>
        <w:rPr>
          <w:rFonts w:asciiTheme="majorHAnsi" w:hAnsiTheme="majorHAnsi" w:cstheme="majorHAnsi"/>
          <w:sz w:val="24"/>
          <w:szCs w:val="24"/>
        </w:rPr>
      </w:pPr>
    </w:p>
    <w:p w14:paraId="7FAA0727" w14:textId="77777777" w:rsidR="007E16A9" w:rsidRPr="005C6C72" w:rsidRDefault="007E16A9" w:rsidP="003A1716">
      <w:pPr>
        <w:spacing w:line="240" w:lineRule="auto"/>
        <w:ind w:firstLine="720"/>
        <w:rPr>
          <w:rFonts w:asciiTheme="majorHAnsi" w:hAnsiTheme="majorHAnsi" w:cstheme="majorHAnsi"/>
          <w:sz w:val="24"/>
          <w:szCs w:val="24"/>
        </w:rPr>
      </w:pPr>
    </w:p>
    <w:p w14:paraId="389451EF" w14:textId="77777777" w:rsidR="007E16A9" w:rsidRPr="005C6C72" w:rsidRDefault="007E16A9" w:rsidP="003A1716">
      <w:pPr>
        <w:spacing w:line="240" w:lineRule="auto"/>
        <w:ind w:firstLine="720"/>
        <w:rPr>
          <w:rFonts w:asciiTheme="majorHAnsi" w:hAnsiTheme="majorHAnsi" w:cstheme="majorHAnsi"/>
          <w:sz w:val="24"/>
          <w:szCs w:val="24"/>
        </w:rPr>
      </w:pPr>
    </w:p>
    <w:p w14:paraId="0E931A7A" w14:textId="77777777" w:rsidR="007E16A9" w:rsidRPr="005C6C72" w:rsidRDefault="007E16A9" w:rsidP="003A1716">
      <w:pPr>
        <w:spacing w:line="240" w:lineRule="auto"/>
        <w:ind w:firstLine="720"/>
        <w:rPr>
          <w:rFonts w:asciiTheme="majorHAnsi" w:hAnsiTheme="majorHAnsi" w:cstheme="majorHAnsi"/>
          <w:sz w:val="24"/>
          <w:szCs w:val="24"/>
        </w:rPr>
      </w:pPr>
    </w:p>
    <w:p w14:paraId="040BF27F" w14:textId="77777777" w:rsidR="007E16A9" w:rsidRPr="005C6C72" w:rsidRDefault="007E16A9" w:rsidP="003A1716">
      <w:pPr>
        <w:spacing w:line="240" w:lineRule="auto"/>
        <w:ind w:firstLine="720"/>
        <w:rPr>
          <w:rFonts w:asciiTheme="majorHAnsi" w:hAnsiTheme="majorHAnsi" w:cstheme="majorHAnsi"/>
          <w:sz w:val="24"/>
          <w:szCs w:val="24"/>
        </w:rPr>
      </w:pPr>
    </w:p>
    <w:p w14:paraId="4680A7B4" w14:textId="3C6B864C" w:rsidR="003A1716" w:rsidRPr="005C6C72" w:rsidRDefault="003A1716" w:rsidP="003A1716">
      <w:pPr>
        <w:spacing w:line="240" w:lineRule="auto"/>
        <w:ind w:firstLine="720"/>
        <w:rPr>
          <w:rFonts w:asciiTheme="majorHAnsi" w:hAnsiTheme="majorHAnsi" w:cstheme="majorHAnsi"/>
          <w:sz w:val="24"/>
          <w:szCs w:val="24"/>
        </w:rPr>
      </w:pPr>
      <w:r w:rsidRPr="005C6C72">
        <w:rPr>
          <w:rFonts w:asciiTheme="majorHAnsi" w:hAnsiTheme="majorHAnsi" w:cstheme="majorHAnsi"/>
          <w:sz w:val="24"/>
          <w:szCs w:val="24"/>
        </w:rPr>
        <w:t>Works cited:</w:t>
      </w:r>
    </w:p>
    <w:p w14:paraId="60C85E61" w14:textId="77777777" w:rsidR="003A1716" w:rsidRPr="005C6C72" w:rsidRDefault="003A1716" w:rsidP="003A1716">
      <w:pPr>
        <w:spacing w:line="240" w:lineRule="auto"/>
        <w:ind w:firstLine="720"/>
        <w:rPr>
          <w:rFonts w:asciiTheme="majorHAnsi" w:hAnsiTheme="majorHAnsi" w:cstheme="majorHAnsi"/>
          <w:sz w:val="24"/>
          <w:szCs w:val="24"/>
        </w:rPr>
      </w:pPr>
      <w:r w:rsidRPr="005C6C72">
        <w:rPr>
          <w:rFonts w:asciiTheme="majorHAnsi" w:hAnsiTheme="majorHAnsi" w:cstheme="majorHAnsi"/>
          <w:sz w:val="24"/>
          <w:szCs w:val="24"/>
        </w:rPr>
        <w:t xml:space="preserve">Caughey, Devin, Tom O’Grady, and Christopher Warshaw. 2019. “Policy Ideology in European Mass Publics, 1981–2016.” </w:t>
      </w:r>
      <w:r w:rsidRPr="005C6C72">
        <w:rPr>
          <w:rFonts w:asciiTheme="majorHAnsi" w:hAnsiTheme="majorHAnsi" w:cstheme="majorHAnsi"/>
          <w:i/>
          <w:iCs/>
          <w:sz w:val="24"/>
          <w:szCs w:val="24"/>
        </w:rPr>
        <w:t>American Political Science Review</w:t>
      </w:r>
      <w:r w:rsidRPr="005C6C72">
        <w:rPr>
          <w:rFonts w:asciiTheme="majorHAnsi" w:hAnsiTheme="majorHAnsi" w:cstheme="majorHAnsi"/>
          <w:sz w:val="24"/>
          <w:szCs w:val="24"/>
        </w:rPr>
        <w:t xml:space="preserve"> 113(3): 674–93. doi:</w:t>
      </w:r>
      <w:hyperlink r:id="rId6" w:history="1">
        <w:r w:rsidRPr="005C6C72">
          <w:rPr>
            <w:rStyle w:val="Hyperlink"/>
            <w:rFonts w:asciiTheme="majorHAnsi" w:hAnsiTheme="majorHAnsi" w:cstheme="majorHAnsi"/>
            <w:sz w:val="24"/>
            <w:szCs w:val="24"/>
          </w:rPr>
          <w:t>10.1017/S0003055419000157</w:t>
        </w:r>
      </w:hyperlink>
      <w:r w:rsidRPr="005C6C72">
        <w:rPr>
          <w:rFonts w:asciiTheme="majorHAnsi" w:hAnsiTheme="majorHAnsi" w:cstheme="majorHAnsi"/>
          <w:sz w:val="24"/>
          <w:szCs w:val="24"/>
        </w:rPr>
        <w:t>.</w:t>
      </w:r>
    </w:p>
    <w:p w14:paraId="01D9996A" w14:textId="77777777" w:rsidR="003A1716" w:rsidRPr="005C6C72" w:rsidRDefault="003A1716" w:rsidP="003A1716">
      <w:pPr>
        <w:spacing w:line="240" w:lineRule="auto"/>
        <w:ind w:firstLine="720"/>
        <w:rPr>
          <w:rFonts w:asciiTheme="majorHAnsi" w:hAnsiTheme="majorHAnsi" w:cstheme="majorHAnsi"/>
          <w:sz w:val="24"/>
          <w:szCs w:val="24"/>
        </w:rPr>
      </w:pPr>
      <w:r w:rsidRPr="005C6C72">
        <w:rPr>
          <w:rFonts w:asciiTheme="majorHAnsi" w:hAnsiTheme="majorHAnsi" w:cstheme="majorHAnsi"/>
          <w:sz w:val="24"/>
          <w:szCs w:val="24"/>
        </w:rPr>
        <w:t xml:space="preserve">Graaf, Nan Dirk De, and Geoffrey Evans. 1996. “Why Are the Young More </w:t>
      </w:r>
      <w:proofErr w:type="gramStart"/>
      <w:r w:rsidRPr="005C6C72">
        <w:rPr>
          <w:rFonts w:asciiTheme="majorHAnsi" w:hAnsiTheme="majorHAnsi" w:cstheme="majorHAnsi"/>
          <w:sz w:val="24"/>
          <w:szCs w:val="24"/>
        </w:rPr>
        <w:t>Postmaterialist?:</w:t>
      </w:r>
      <w:proofErr w:type="gramEnd"/>
      <w:r w:rsidRPr="005C6C72">
        <w:rPr>
          <w:rFonts w:asciiTheme="majorHAnsi" w:hAnsiTheme="majorHAnsi" w:cstheme="majorHAnsi"/>
          <w:sz w:val="24"/>
          <w:szCs w:val="24"/>
        </w:rPr>
        <w:t xml:space="preserve"> A Cross-National Analysis of Individual and Contextual Influences on </w:t>
      </w:r>
      <w:proofErr w:type="spellStart"/>
      <w:r w:rsidRPr="005C6C72">
        <w:rPr>
          <w:rFonts w:asciiTheme="majorHAnsi" w:hAnsiTheme="majorHAnsi" w:cstheme="majorHAnsi"/>
          <w:sz w:val="24"/>
          <w:szCs w:val="24"/>
        </w:rPr>
        <w:t>Postmaterial</w:t>
      </w:r>
      <w:proofErr w:type="spellEnd"/>
      <w:r w:rsidRPr="005C6C72">
        <w:rPr>
          <w:rFonts w:asciiTheme="majorHAnsi" w:hAnsiTheme="majorHAnsi" w:cstheme="majorHAnsi"/>
          <w:sz w:val="24"/>
          <w:szCs w:val="24"/>
        </w:rPr>
        <w:t xml:space="preserve"> Values.” </w:t>
      </w:r>
      <w:r w:rsidRPr="005C6C72">
        <w:rPr>
          <w:rFonts w:asciiTheme="majorHAnsi" w:hAnsiTheme="majorHAnsi" w:cstheme="majorHAnsi"/>
          <w:i/>
          <w:iCs/>
          <w:sz w:val="24"/>
          <w:szCs w:val="24"/>
        </w:rPr>
        <w:t>Comparative Political Studies</w:t>
      </w:r>
      <w:r w:rsidRPr="005C6C72">
        <w:rPr>
          <w:rFonts w:asciiTheme="majorHAnsi" w:hAnsiTheme="majorHAnsi" w:cstheme="majorHAnsi"/>
          <w:sz w:val="24"/>
          <w:szCs w:val="24"/>
        </w:rPr>
        <w:t xml:space="preserve"> 28(4): 608–35. doi:</w:t>
      </w:r>
      <w:hyperlink r:id="rId7" w:history="1">
        <w:r w:rsidRPr="005C6C72">
          <w:rPr>
            <w:rStyle w:val="Hyperlink"/>
            <w:rFonts w:asciiTheme="majorHAnsi" w:hAnsiTheme="majorHAnsi" w:cstheme="majorHAnsi"/>
            <w:sz w:val="24"/>
            <w:szCs w:val="24"/>
          </w:rPr>
          <w:t>10.1177/0010414096028004005</w:t>
        </w:r>
      </w:hyperlink>
      <w:r w:rsidRPr="005C6C72">
        <w:rPr>
          <w:rFonts w:asciiTheme="majorHAnsi" w:hAnsiTheme="majorHAnsi" w:cstheme="majorHAnsi"/>
          <w:sz w:val="24"/>
          <w:szCs w:val="24"/>
        </w:rPr>
        <w:t>.</w:t>
      </w:r>
    </w:p>
    <w:p w14:paraId="13DF39BF" w14:textId="77777777" w:rsidR="003A1716" w:rsidRPr="005C6C72" w:rsidRDefault="003A1716" w:rsidP="003A1716">
      <w:pPr>
        <w:spacing w:line="240" w:lineRule="auto"/>
        <w:ind w:firstLine="720"/>
        <w:rPr>
          <w:rFonts w:asciiTheme="majorHAnsi" w:hAnsiTheme="majorHAnsi" w:cstheme="majorHAnsi"/>
          <w:sz w:val="24"/>
          <w:szCs w:val="24"/>
        </w:rPr>
      </w:pPr>
      <w:proofErr w:type="spellStart"/>
      <w:r w:rsidRPr="005C6C72">
        <w:rPr>
          <w:rFonts w:asciiTheme="majorHAnsi" w:hAnsiTheme="majorHAnsi" w:cstheme="majorHAnsi"/>
          <w:sz w:val="24"/>
          <w:szCs w:val="24"/>
        </w:rPr>
        <w:t>Hooghe</w:t>
      </w:r>
      <w:proofErr w:type="spellEnd"/>
      <w:r w:rsidRPr="005C6C72">
        <w:rPr>
          <w:rFonts w:asciiTheme="majorHAnsi" w:hAnsiTheme="majorHAnsi" w:cstheme="majorHAnsi"/>
          <w:sz w:val="24"/>
          <w:szCs w:val="24"/>
        </w:rPr>
        <w:t xml:space="preserve">, Liesbet, Gary Marks, and Jonne Kamphorst. 2025. “Field of Education and Political Behavior: Predicting GAL/TAN Voting.” </w:t>
      </w:r>
      <w:r w:rsidRPr="005C6C72">
        <w:rPr>
          <w:rFonts w:asciiTheme="majorHAnsi" w:hAnsiTheme="majorHAnsi" w:cstheme="majorHAnsi"/>
          <w:i/>
          <w:iCs/>
          <w:sz w:val="24"/>
          <w:szCs w:val="24"/>
        </w:rPr>
        <w:t>American Political Science Review</w:t>
      </w:r>
      <w:r w:rsidRPr="005C6C72">
        <w:rPr>
          <w:rFonts w:asciiTheme="majorHAnsi" w:hAnsiTheme="majorHAnsi" w:cstheme="majorHAnsi"/>
          <w:sz w:val="24"/>
          <w:szCs w:val="24"/>
        </w:rPr>
        <w:t xml:space="preserve"> 119(2): 794–811. doi:</w:t>
      </w:r>
      <w:hyperlink r:id="rId8" w:history="1">
        <w:r w:rsidRPr="005C6C72">
          <w:rPr>
            <w:rStyle w:val="Hyperlink"/>
            <w:rFonts w:asciiTheme="majorHAnsi" w:hAnsiTheme="majorHAnsi" w:cstheme="majorHAnsi"/>
            <w:sz w:val="24"/>
            <w:szCs w:val="24"/>
          </w:rPr>
          <w:t>10.1017/S0003055424000583</w:t>
        </w:r>
      </w:hyperlink>
      <w:r w:rsidRPr="005C6C72">
        <w:rPr>
          <w:rFonts w:asciiTheme="majorHAnsi" w:hAnsiTheme="majorHAnsi" w:cstheme="majorHAnsi"/>
          <w:sz w:val="24"/>
          <w:szCs w:val="24"/>
        </w:rPr>
        <w:t>.</w:t>
      </w:r>
    </w:p>
    <w:p w14:paraId="75B71DBE" w14:textId="77777777" w:rsidR="003A1716" w:rsidRPr="005C6C72" w:rsidRDefault="003A1716" w:rsidP="003A1716">
      <w:pPr>
        <w:spacing w:line="240" w:lineRule="auto"/>
        <w:ind w:firstLine="720"/>
        <w:rPr>
          <w:rFonts w:asciiTheme="majorHAnsi" w:hAnsiTheme="majorHAnsi" w:cstheme="majorHAnsi"/>
          <w:sz w:val="24"/>
          <w:szCs w:val="24"/>
        </w:rPr>
      </w:pPr>
      <w:r w:rsidRPr="005C6C72">
        <w:rPr>
          <w:rFonts w:asciiTheme="majorHAnsi" w:hAnsiTheme="majorHAnsi" w:cstheme="majorHAnsi"/>
          <w:sz w:val="24"/>
          <w:szCs w:val="24"/>
        </w:rPr>
        <w:t xml:space="preserve">Marshall, John. 2016. “Education and Voting Conservative: Evidence from a Major Schooling Reform in Great Britain.” </w:t>
      </w:r>
      <w:r w:rsidRPr="005C6C72">
        <w:rPr>
          <w:rFonts w:asciiTheme="majorHAnsi" w:hAnsiTheme="majorHAnsi" w:cstheme="majorHAnsi"/>
          <w:i/>
          <w:iCs/>
          <w:sz w:val="24"/>
          <w:szCs w:val="24"/>
        </w:rPr>
        <w:t>The Journal of Politics</w:t>
      </w:r>
      <w:r w:rsidRPr="005C6C72">
        <w:rPr>
          <w:rFonts w:asciiTheme="majorHAnsi" w:hAnsiTheme="majorHAnsi" w:cstheme="majorHAnsi"/>
          <w:sz w:val="24"/>
          <w:szCs w:val="24"/>
        </w:rPr>
        <w:t xml:space="preserve"> 78(2): 382–95. doi:</w:t>
      </w:r>
      <w:hyperlink r:id="rId9" w:history="1">
        <w:r w:rsidRPr="005C6C72">
          <w:rPr>
            <w:rStyle w:val="Hyperlink"/>
            <w:rFonts w:asciiTheme="majorHAnsi" w:hAnsiTheme="majorHAnsi" w:cstheme="majorHAnsi"/>
            <w:sz w:val="24"/>
            <w:szCs w:val="24"/>
          </w:rPr>
          <w:t>10.1086/683848</w:t>
        </w:r>
      </w:hyperlink>
      <w:r w:rsidRPr="005C6C72">
        <w:rPr>
          <w:rFonts w:asciiTheme="majorHAnsi" w:hAnsiTheme="majorHAnsi" w:cstheme="majorHAnsi"/>
          <w:sz w:val="24"/>
          <w:szCs w:val="24"/>
        </w:rPr>
        <w:t>.</w:t>
      </w:r>
    </w:p>
    <w:p w14:paraId="0CFCEC33" w14:textId="77777777" w:rsidR="003A1716" w:rsidRPr="005C6C72" w:rsidRDefault="003A1716" w:rsidP="003A1716">
      <w:pPr>
        <w:spacing w:line="240" w:lineRule="auto"/>
        <w:ind w:firstLine="720"/>
        <w:rPr>
          <w:rFonts w:asciiTheme="majorHAnsi" w:hAnsiTheme="majorHAnsi" w:cstheme="majorHAnsi"/>
          <w:sz w:val="24"/>
          <w:szCs w:val="24"/>
        </w:rPr>
      </w:pPr>
      <w:r w:rsidRPr="005C6C72">
        <w:rPr>
          <w:rFonts w:asciiTheme="majorHAnsi" w:hAnsiTheme="majorHAnsi" w:cstheme="majorHAnsi"/>
          <w:sz w:val="24"/>
          <w:szCs w:val="24"/>
        </w:rPr>
        <w:t xml:space="preserve">Perrett, Stuart. 2021. “A Divided Kingdom? Variation in Polarization, Sorting, and Dimensional Alignment among the British Public, 1986–2018.” </w:t>
      </w:r>
      <w:r w:rsidRPr="005C6C72">
        <w:rPr>
          <w:rFonts w:asciiTheme="majorHAnsi" w:hAnsiTheme="majorHAnsi" w:cstheme="majorHAnsi"/>
          <w:i/>
          <w:iCs/>
          <w:sz w:val="24"/>
          <w:szCs w:val="24"/>
        </w:rPr>
        <w:t>The British Journal of Sociology</w:t>
      </w:r>
      <w:r w:rsidRPr="005C6C72">
        <w:rPr>
          <w:rFonts w:asciiTheme="majorHAnsi" w:hAnsiTheme="majorHAnsi" w:cstheme="majorHAnsi"/>
          <w:sz w:val="24"/>
          <w:szCs w:val="24"/>
        </w:rPr>
        <w:t xml:space="preserve"> 72(4): 992–1014. doi:</w:t>
      </w:r>
      <w:hyperlink r:id="rId10" w:history="1">
        <w:r w:rsidRPr="005C6C72">
          <w:rPr>
            <w:rStyle w:val="Hyperlink"/>
            <w:rFonts w:asciiTheme="majorHAnsi" w:hAnsiTheme="majorHAnsi" w:cstheme="majorHAnsi"/>
            <w:sz w:val="24"/>
            <w:szCs w:val="24"/>
          </w:rPr>
          <w:t>10.1111/1468-4446.12873</w:t>
        </w:r>
      </w:hyperlink>
      <w:r w:rsidRPr="005C6C72">
        <w:rPr>
          <w:rFonts w:asciiTheme="majorHAnsi" w:hAnsiTheme="majorHAnsi" w:cstheme="majorHAnsi"/>
          <w:sz w:val="24"/>
          <w:szCs w:val="24"/>
        </w:rPr>
        <w:t>.</w:t>
      </w:r>
    </w:p>
    <w:p w14:paraId="5DFE22D6" w14:textId="77777777" w:rsidR="003A1716" w:rsidRPr="005C6C72" w:rsidRDefault="003A1716" w:rsidP="003A1716">
      <w:pPr>
        <w:spacing w:line="240" w:lineRule="auto"/>
        <w:ind w:firstLine="720"/>
        <w:rPr>
          <w:rFonts w:asciiTheme="majorHAnsi" w:hAnsiTheme="majorHAnsi" w:cstheme="majorHAnsi"/>
          <w:sz w:val="24"/>
          <w:szCs w:val="24"/>
        </w:rPr>
      </w:pPr>
      <w:r w:rsidRPr="005C6C72">
        <w:rPr>
          <w:rFonts w:asciiTheme="majorHAnsi" w:hAnsiTheme="majorHAnsi" w:cstheme="majorHAnsi"/>
          <w:sz w:val="24"/>
          <w:szCs w:val="24"/>
        </w:rPr>
        <w:t xml:space="preserve">Scott, Ralph. 2022. “Does University Make You More Liberal? Estimating the within-Individual Effects of Higher Education on Political Values.” </w:t>
      </w:r>
      <w:r w:rsidRPr="005C6C72">
        <w:rPr>
          <w:rFonts w:asciiTheme="majorHAnsi" w:hAnsiTheme="majorHAnsi" w:cstheme="majorHAnsi"/>
          <w:i/>
          <w:iCs/>
          <w:sz w:val="24"/>
          <w:szCs w:val="24"/>
        </w:rPr>
        <w:t>Electoral Studies</w:t>
      </w:r>
      <w:r w:rsidRPr="005C6C72">
        <w:rPr>
          <w:rFonts w:asciiTheme="majorHAnsi" w:hAnsiTheme="majorHAnsi" w:cstheme="majorHAnsi"/>
          <w:sz w:val="24"/>
          <w:szCs w:val="24"/>
        </w:rPr>
        <w:t xml:space="preserve"> 77: 102471. doi:</w:t>
      </w:r>
      <w:hyperlink r:id="rId11" w:history="1">
        <w:r w:rsidRPr="005C6C72">
          <w:rPr>
            <w:rStyle w:val="Hyperlink"/>
            <w:rFonts w:asciiTheme="majorHAnsi" w:hAnsiTheme="majorHAnsi" w:cstheme="majorHAnsi"/>
            <w:sz w:val="24"/>
            <w:szCs w:val="24"/>
          </w:rPr>
          <w:t>10.1016/j.electstud.2022.102471</w:t>
        </w:r>
      </w:hyperlink>
      <w:r w:rsidRPr="005C6C72">
        <w:rPr>
          <w:rFonts w:asciiTheme="majorHAnsi" w:hAnsiTheme="majorHAnsi" w:cstheme="majorHAnsi"/>
          <w:sz w:val="24"/>
          <w:szCs w:val="24"/>
        </w:rPr>
        <w:t>.</w:t>
      </w:r>
    </w:p>
    <w:p w14:paraId="798B626D" w14:textId="77777777" w:rsidR="003A1716" w:rsidRPr="005C6C72" w:rsidRDefault="003A1716" w:rsidP="003A1716">
      <w:pPr>
        <w:spacing w:line="240" w:lineRule="auto"/>
        <w:ind w:firstLine="720"/>
        <w:rPr>
          <w:rFonts w:asciiTheme="majorHAnsi" w:hAnsiTheme="majorHAnsi" w:cstheme="majorHAnsi"/>
          <w:sz w:val="24"/>
          <w:szCs w:val="24"/>
        </w:rPr>
      </w:pPr>
      <w:r w:rsidRPr="005C6C72">
        <w:rPr>
          <w:rFonts w:asciiTheme="majorHAnsi" w:hAnsiTheme="majorHAnsi" w:cstheme="majorHAnsi"/>
          <w:sz w:val="24"/>
          <w:szCs w:val="24"/>
        </w:rPr>
        <w:t>Stubager, Rune. 2008. “Education Effects on Authoritarian–Libertarian Values: A Question of Socialization</w:t>
      </w:r>
      <w:r w:rsidRPr="005C6C72">
        <w:rPr>
          <w:rFonts w:asciiTheme="majorHAnsi" w:hAnsiTheme="majorHAnsi" w:cstheme="majorHAnsi"/>
          <w:sz w:val="24"/>
          <w:szCs w:val="24"/>
          <w:vertAlign w:val="superscript"/>
        </w:rPr>
        <w:t>1</w:t>
      </w:r>
      <w:r w:rsidRPr="005C6C72">
        <w:rPr>
          <w:rFonts w:asciiTheme="majorHAnsi" w:hAnsiTheme="majorHAnsi" w:cstheme="majorHAnsi"/>
          <w:sz w:val="24"/>
          <w:szCs w:val="24"/>
        </w:rPr>
        <w:t xml:space="preserve">.” </w:t>
      </w:r>
      <w:r w:rsidRPr="005C6C72">
        <w:rPr>
          <w:rFonts w:asciiTheme="majorHAnsi" w:hAnsiTheme="majorHAnsi" w:cstheme="majorHAnsi"/>
          <w:i/>
          <w:iCs/>
          <w:sz w:val="24"/>
          <w:szCs w:val="24"/>
        </w:rPr>
        <w:t>The British Journal of Sociology</w:t>
      </w:r>
      <w:r w:rsidRPr="005C6C72">
        <w:rPr>
          <w:rFonts w:asciiTheme="majorHAnsi" w:hAnsiTheme="majorHAnsi" w:cstheme="majorHAnsi"/>
          <w:sz w:val="24"/>
          <w:szCs w:val="24"/>
        </w:rPr>
        <w:t xml:space="preserve"> 59(2): 327–50. doi:</w:t>
      </w:r>
      <w:hyperlink r:id="rId12" w:history="1">
        <w:r w:rsidRPr="005C6C72">
          <w:rPr>
            <w:rStyle w:val="Hyperlink"/>
            <w:rFonts w:asciiTheme="majorHAnsi" w:hAnsiTheme="majorHAnsi" w:cstheme="majorHAnsi"/>
            <w:sz w:val="24"/>
            <w:szCs w:val="24"/>
          </w:rPr>
          <w:t>10.1111/j.1468-4446.2008.00196.x</w:t>
        </w:r>
      </w:hyperlink>
      <w:r w:rsidRPr="005C6C72">
        <w:rPr>
          <w:rFonts w:asciiTheme="majorHAnsi" w:hAnsiTheme="majorHAnsi" w:cstheme="majorHAnsi"/>
          <w:sz w:val="24"/>
          <w:szCs w:val="24"/>
        </w:rPr>
        <w:t>.</w:t>
      </w:r>
    </w:p>
    <w:p w14:paraId="734BE502" w14:textId="77777777" w:rsidR="003A1716" w:rsidRPr="005C6C72" w:rsidRDefault="003A1716" w:rsidP="003A1716">
      <w:pPr>
        <w:spacing w:line="240" w:lineRule="auto"/>
        <w:ind w:firstLine="720"/>
        <w:rPr>
          <w:rFonts w:asciiTheme="majorHAnsi" w:hAnsiTheme="majorHAnsi" w:cstheme="majorHAnsi"/>
          <w:sz w:val="24"/>
          <w:szCs w:val="24"/>
        </w:rPr>
      </w:pPr>
      <w:r w:rsidRPr="005C6C72">
        <w:rPr>
          <w:rFonts w:asciiTheme="majorHAnsi" w:hAnsiTheme="majorHAnsi" w:cstheme="majorHAnsi"/>
          <w:sz w:val="24"/>
          <w:szCs w:val="24"/>
        </w:rPr>
        <w:t xml:space="preserve">Surridge, Paula. 2016. “Education and Liberalism: Pursuing the Link.” </w:t>
      </w:r>
      <w:r w:rsidRPr="005C6C72">
        <w:rPr>
          <w:rFonts w:asciiTheme="majorHAnsi" w:hAnsiTheme="majorHAnsi" w:cstheme="majorHAnsi"/>
          <w:i/>
          <w:iCs/>
          <w:sz w:val="24"/>
          <w:szCs w:val="24"/>
        </w:rPr>
        <w:t>Oxford Review of Education</w:t>
      </w:r>
      <w:r w:rsidRPr="005C6C72">
        <w:rPr>
          <w:rFonts w:asciiTheme="majorHAnsi" w:hAnsiTheme="majorHAnsi" w:cstheme="majorHAnsi"/>
          <w:sz w:val="24"/>
          <w:szCs w:val="24"/>
        </w:rPr>
        <w:t xml:space="preserve"> 42(2): 146–64. doi:</w:t>
      </w:r>
      <w:hyperlink r:id="rId13" w:history="1">
        <w:r w:rsidRPr="005C6C72">
          <w:rPr>
            <w:rStyle w:val="Hyperlink"/>
            <w:rFonts w:asciiTheme="majorHAnsi" w:hAnsiTheme="majorHAnsi" w:cstheme="majorHAnsi"/>
            <w:sz w:val="24"/>
            <w:szCs w:val="24"/>
          </w:rPr>
          <w:t>10.1080/03054985.2016.1151408</w:t>
        </w:r>
      </w:hyperlink>
      <w:r w:rsidRPr="005C6C72">
        <w:rPr>
          <w:rFonts w:asciiTheme="majorHAnsi" w:hAnsiTheme="majorHAnsi" w:cstheme="majorHAnsi"/>
          <w:sz w:val="24"/>
          <w:szCs w:val="24"/>
        </w:rPr>
        <w:t>.</w:t>
      </w:r>
    </w:p>
    <w:p w14:paraId="054DAE27" w14:textId="77777777" w:rsidR="003A1716" w:rsidRPr="005C6C72" w:rsidRDefault="003A1716" w:rsidP="003A1716">
      <w:pPr>
        <w:spacing w:line="240" w:lineRule="auto"/>
        <w:ind w:firstLine="720"/>
        <w:rPr>
          <w:rFonts w:asciiTheme="majorHAnsi" w:hAnsiTheme="majorHAnsi" w:cstheme="majorHAnsi"/>
          <w:sz w:val="24"/>
          <w:szCs w:val="24"/>
        </w:rPr>
      </w:pPr>
    </w:p>
    <w:p w14:paraId="283DCDA6" w14:textId="092D36C8" w:rsidR="008A6BA0" w:rsidRPr="005C6C72" w:rsidRDefault="008A6BA0" w:rsidP="008A6BA0">
      <w:pPr>
        <w:spacing w:line="240" w:lineRule="auto"/>
        <w:ind w:firstLine="720"/>
        <w:rPr>
          <w:rFonts w:asciiTheme="majorHAnsi" w:hAnsiTheme="majorHAnsi" w:cstheme="majorHAnsi"/>
          <w:sz w:val="24"/>
          <w:szCs w:val="24"/>
          <w:lang w:val="en-GB"/>
        </w:rPr>
      </w:pPr>
    </w:p>
    <w:p w14:paraId="63226EE4" w14:textId="5389EDFD" w:rsidR="008A6BA0" w:rsidRPr="005C6C72" w:rsidRDefault="008A6BA0" w:rsidP="008A6BA0">
      <w:pPr>
        <w:spacing w:line="240" w:lineRule="auto"/>
        <w:rPr>
          <w:rFonts w:asciiTheme="majorHAnsi" w:hAnsiTheme="majorHAnsi" w:cstheme="majorHAnsi"/>
          <w:sz w:val="24"/>
          <w:szCs w:val="24"/>
          <w:lang w:val="en-GB"/>
        </w:rPr>
      </w:pPr>
      <w:r w:rsidRPr="005C6C72">
        <w:rPr>
          <w:rFonts w:asciiTheme="majorHAnsi" w:hAnsiTheme="majorHAnsi" w:cstheme="majorHAnsi"/>
          <w:sz w:val="24"/>
          <w:szCs w:val="24"/>
          <w:lang w:val="en-GB"/>
        </w:rPr>
        <w:lastRenderedPageBreak/>
        <w:tab/>
      </w:r>
    </w:p>
    <w:p w14:paraId="6817E7CC" w14:textId="78247A76" w:rsidR="004B7E6C" w:rsidRPr="005C6C72" w:rsidRDefault="004B7E6C" w:rsidP="004B7E6C">
      <w:pPr>
        <w:spacing w:line="240" w:lineRule="auto"/>
        <w:rPr>
          <w:rFonts w:asciiTheme="majorHAnsi" w:hAnsiTheme="majorHAnsi" w:cstheme="majorHAnsi"/>
          <w:sz w:val="24"/>
          <w:szCs w:val="24"/>
          <w:lang w:val="en-GB"/>
        </w:rPr>
      </w:pPr>
      <w:r w:rsidRPr="005C6C72">
        <w:rPr>
          <w:rFonts w:asciiTheme="majorHAnsi" w:hAnsiTheme="majorHAnsi" w:cstheme="majorHAnsi"/>
          <w:sz w:val="24"/>
          <w:szCs w:val="24"/>
          <w:lang w:val="en-GB"/>
        </w:rPr>
        <w:tab/>
      </w:r>
    </w:p>
    <w:sectPr w:rsidR="004B7E6C" w:rsidRPr="005C6C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892493397">
    <w:abstractNumId w:val="8"/>
  </w:num>
  <w:num w:numId="2" w16cid:durableId="2142720601">
    <w:abstractNumId w:val="6"/>
  </w:num>
  <w:num w:numId="3" w16cid:durableId="1855024764">
    <w:abstractNumId w:val="5"/>
  </w:num>
  <w:num w:numId="4" w16cid:durableId="1950312676">
    <w:abstractNumId w:val="4"/>
  </w:num>
  <w:num w:numId="5" w16cid:durableId="1458639449">
    <w:abstractNumId w:val="7"/>
  </w:num>
  <w:num w:numId="6" w16cid:durableId="1647970809">
    <w:abstractNumId w:val="3"/>
  </w:num>
  <w:num w:numId="7" w16cid:durableId="451435917">
    <w:abstractNumId w:val="2"/>
  </w:num>
  <w:num w:numId="8" w16cid:durableId="1935818645">
    <w:abstractNumId w:val="1"/>
  </w:num>
  <w:num w:numId="9" w16cid:durableId="1319191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CA6"/>
    <w:rsid w:val="0015074B"/>
    <w:rsid w:val="00184870"/>
    <w:rsid w:val="0029639D"/>
    <w:rsid w:val="00326F90"/>
    <w:rsid w:val="00386367"/>
    <w:rsid w:val="003A1716"/>
    <w:rsid w:val="004B7E6C"/>
    <w:rsid w:val="005C6C72"/>
    <w:rsid w:val="00626828"/>
    <w:rsid w:val="007126E8"/>
    <w:rsid w:val="00777027"/>
    <w:rsid w:val="007E16A9"/>
    <w:rsid w:val="00853F4D"/>
    <w:rsid w:val="008716D0"/>
    <w:rsid w:val="008A6BA0"/>
    <w:rsid w:val="00AA1D8D"/>
    <w:rsid w:val="00B47730"/>
    <w:rsid w:val="00CB0664"/>
    <w:rsid w:val="00F24C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CBA6F"/>
  <w14:defaultImageDpi w14:val="300"/>
  <w15:docId w15:val="{E8704117-13BF-4D42-B8B2-5A437374C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Standaardalinea-lettertype"/>
    <w:uiPriority w:val="99"/>
    <w:unhideWhenUsed/>
    <w:rsid w:val="003A1716"/>
    <w:rPr>
      <w:color w:val="0000FF" w:themeColor="hyperlink"/>
      <w:u w:val="single"/>
    </w:rPr>
  </w:style>
  <w:style w:type="character" w:styleId="Onopgelostemelding">
    <w:name w:val="Unresolved Mention"/>
    <w:basedOn w:val="Standaardalinea-lettertype"/>
    <w:uiPriority w:val="99"/>
    <w:semiHidden/>
    <w:unhideWhenUsed/>
    <w:rsid w:val="003A1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7/S0003055424000583" TargetMode="External"/><Relationship Id="rId13" Type="http://schemas.openxmlformats.org/officeDocument/2006/relationships/hyperlink" Target="https://doi.org/10.1080/03054985.2016.1151408" TargetMode="External"/><Relationship Id="rId3" Type="http://schemas.openxmlformats.org/officeDocument/2006/relationships/styles" Target="styles.xml"/><Relationship Id="rId7" Type="http://schemas.openxmlformats.org/officeDocument/2006/relationships/hyperlink" Target="https://doi.org/10.1177/0010414096028004005" TargetMode="External"/><Relationship Id="rId12" Type="http://schemas.openxmlformats.org/officeDocument/2006/relationships/hyperlink" Target="https://doi.org/10.1111/j.1468-4446.2008.00196.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7/S0003055419000157" TargetMode="External"/><Relationship Id="rId11" Type="http://schemas.openxmlformats.org/officeDocument/2006/relationships/hyperlink" Target="https://doi.org/10.1016/j.electstud.2022.10247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11/1468-4446.12873" TargetMode="External"/><Relationship Id="rId4" Type="http://schemas.openxmlformats.org/officeDocument/2006/relationships/settings" Target="settings.xml"/><Relationship Id="rId9" Type="http://schemas.openxmlformats.org/officeDocument/2006/relationships/hyperlink" Target="https://doi.org/10.1086/68384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2033</Words>
  <Characters>11186</Characters>
  <Application>Microsoft Office Word</Application>
  <DocSecurity>0</DocSecurity>
  <Lines>93</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Olivier Berg</cp:lastModifiedBy>
  <cp:revision>3</cp:revision>
  <dcterms:created xsi:type="dcterms:W3CDTF">2025-10-24T14:26:00Z</dcterms:created>
  <dcterms:modified xsi:type="dcterms:W3CDTF">2025-10-24T14:37:00Z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zotero-version="7.0.28"&gt;&lt;session id="EbBufyTG"/&gt;&lt;style id="http://www.zotero.org/styles/american-political-science-association" locale="en-US" hasBibliography="1" bibliographyStyleHasBeenSet="0"/&gt;&lt;prefs&gt;&lt;pref name="fieldType" value=</vt:lpwstr>
  </property>
  <property fmtid="{D5CDD505-2E9C-101B-9397-08002B2CF9AE}" pid="3" name="ZOTERO_PREF_2">
    <vt:lpwstr>"Field"/&gt;&lt;pref name="automaticJournalAbbreviations" value="true"/&gt;&lt;/prefs&gt;&lt;/data&gt;</vt:lpwstr>
  </property>
</Properties>
</file>