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0AFE" w14:textId="062A26ED" w:rsidR="00321AB2" w:rsidRDefault="002518F1" w:rsidP="002518F1">
      <w:pPr>
        <w:tabs>
          <w:tab w:val="left" w:pos="2442"/>
        </w:tabs>
        <w:rPr>
          <w:lang w:val="en-US"/>
        </w:rPr>
      </w:pPr>
      <w:r w:rsidRPr="002518F1">
        <w:rPr>
          <w:lang w:val="en-US"/>
        </w:rPr>
        <w:tab/>
      </w:r>
    </w:p>
    <w:p w14:paraId="2C92A39F" w14:textId="13BF8DC8" w:rsidR="00C26BCD" w:rsidRDefault="00C26BCD" w:rsidP="002518F1">
      <w:pPr>
        <w:tabs>
          <w:tab w:val="left" w:pos="2442"/>
        </w:tabs>
        <w:rPr>
          <w:lang w:val="en-US"/>
        </w:rPr>
      </w:pPr>
      <w:r>
        <w:rPr>
          <w:lang w:val="en-US"/>
        </w:rPr>
        <w:t>Charlie Goldberg</w:t>
      </w:r>
    </w:p>
    <w:p w14:paraId="71B27754" w14:textId="425420D6" w:rsidR="00C26BCD" w:rsidRDefault="00C26BCD" w:rsidP="002518F1">
      <w:pPr>
        <w:tabs>
          <w:tab w:val="left" w:pos="2442"/>
        </w:tabs>
        <w:rPr>
          <w:lang w:val="en-US"/>
        </w:rPr>
      </w:pPr>
      <w:r>
        <w:rPr>
          <w:lang w:val="en-US"/>
        </w:rPr>
        <w:t>Gender Political Sociology</w:t>
      </w:r>
    </w:p>
    <w:p w14:paraId="7C1A2A76" w14:textId="267689D6" w:rsidR="00DB69F1" w:rsidRDefault="002518F1" w:rsidP="002518F1">
      <w:pPr>
        <w:tabs>
          <w:tab w:val="left" w:pos="2442"/>
        </w:tabs>
        <w:rPr>
          <w:sz w:val="22"/>
          <w:szCs w:val="22"/>
          <w:lang w:val="en-US"/>
        </w:rPr>
      </w:pPr>
      <w:r>
        <w:rPr>
          <w:sz w:val="22"/>
          <w:szCs w:val="22"/>
          <w:lang w:val="en-US"/>
        </w:rPr>
        <w:t xml:space="preserve">Explanations for gender gaps in attitude, and voting all generally react to Inglehart and Norris’s theory of modernization, which predicted that the gender gap which has emerged in both advanced industrialized democracies is a result of the increasing autonomy of women as they have been more likely to gain economic autonomy and receive higher education, and due to the predicted salience of post-materialist values among women (though this prediction has been roundly criticized). </w:t>
      </w:r>
    </w:p>
    <w:p w14:paraId="2C92ED10" w14:textId="1B9D4985" w:rsidR="00DB69F1" w:rsidRDefault="002518F1" w:rsidP="002518F1">
      <w:pPr>
        <w:tabs>
          <w:tab w:val="left" w:pos="2442"/>
        </w:tabs>
        <w:rPr>
          <w:sz w:val="22"/>
          <w:szCs w:val="22"/>
          <w:lang w:val="en-US"/>
        </w:rPr>
      </w:pPr>
      <w:r>
        <w:rPr>
          <w:sz w:val="22"/>
          <w:szCs w:val="22"/>
          <w:lang w:val="en-US"/>
        </w:rPr>
        <w:t xml:space="preserve">As in other arguments for generational change in advanced industrialized democracies, political scientists generally divide explanations for the emergence of a gender gap into supply- and demand-side explanations, positing that changes in party positions interact with generational replacement to replace a (weaker) gender gap that generally predicted women would be more right-wing then men with a modern, and more prominent gender gap, whereby women tend to be more left-wing then men. It is important however, to not treat this gender gap through an essentialist view, whereby gender predicts political positioning, given that educational and occupational status always interacts strongly with gender to produce the gender gap. </w:t>
      </w:r>
    </w:p>
    <w:p w14:paraId="6CBBB412" w14:textId="1DC513BD" w:rsidR="002518F1" w:rsidRDefault="002518F1" w:rsidP="002518F1">
      <w:pPr>
        <w:tabs>
          <w:tab w:val="left" w:pos="2442"/>
        </w:tabs>
        <w:rPr>
          <w:sz w:val="22"/>
          <w:szCs w:val="22"/>
          <w:lang w:val="en-US"/>
        </w:rPr>
      </w:pPr>
      <w:r>
        <w:rPr>
          <w:sz w:val="22"/>
          <w:szCs w:val="22"/>
          <w:lang w:val="en-US"/>
        </w:rPr>
        <w:t xml:space="preserve">As in other issues of generational change, interactions between the supply- and demand-side seem to best explain why gender gaps have disappeared and emerged over time, with demand-side likely acting as a more potent first mover and with </w:t>
      </w:r>
      <w:r w:rsidR="00DB69F1">
        <w:rPr>
          <w:sz w:val="22"/>
          <w:szCs w:val="22"/>
          <w:lang w:val="en-US"/>
        </w:rPr>
        <w:t>between-election swings being explained by locally contingent factors like changes in party platform.</w:t>
      </w:r>
    </w:p>
    <w:p w14:paraId="66CB8434" w14:textId="1F6036ED" w:rsidR="00D81774" w:rsidRDefault="00D81774" w:rsidP="00D81774">
      <w:pPr>
        <w:tabs>
          <w:tab w:val="left" w:pos="2442"/>
        </w:tabs>
        <w:rPr>
          <w:sz w:val="22"/>
          <w:szCs w:val="22"/>
          <w:lang w:val="en-US"/>
        </w:rPr>
      </w:pPr>
      <w:r>
        <w:rPr>
          <w:sz w:val="22"/>
          <w:szCs w:val="22"/>
          <w:lang w:val="en-US"/>
        </w:rPr>
        <w:t xml:space="preserve">The modern gender gap, whereby women tend to vote for left-wing parties more </w:t>
      </w:r>
      <w:proofErr w:type="spellStart"/>
      <w:r>
        <w:rPr>
          <w:sz w:val="22"/>
          <w:szCs w:val="22"/>
          <w:lang w:val="en-US"/>
        </w:rPr>
        <w:t>then</w:t>
      </w:r>
      <w:proofErr w:type="spellEnd"/>
      <w:r>
        <w:rPr>
          <w:sz w:val="22"/>
          <w:szCs w:val="22"/>
          <w:lang w:val="en-US"/>
        </w:rPr>
        <w:t xml:space="preserve"> men, emerged earliest in the United States, around the late 70s to the early 80s. Gillion, Ladd and Meredith (2018) show that, starting in 1977 partisanship between men and women started to sharply diverge – largely as women shifted to the left of men in self-identified partisanship. This was after a period of convergence, and an even earlier period (stretching back to the 1950s and before) where women were slightly more likely to be right wing. The gap in self-identification (strongly correlated with voting) continued to widen according to most surveys until about the 90s before stabilizing.</w:t>
      </w:r>
    </w:p>
    <w:p w14:paraId="483F7F10" w14:textId="77777777" w:rsidR="00D81774" w:rsidRPr="00D81774" w:rsidRDefault="00D81774" w:rsidP="00D81774">
      <w:pPr>
        <w:tabs>
          <w:tab w:val="left" w:pos="2442"/>
        </w:tabs>
        <w:rPr>
          <w:sz w:val="22"/>
          <w:szCs w:val="22"/>
          <w:lang w:val="en-US"/>
        </w:rPr>
      </w:pPr>
    </w:p>
    <w:p w14:paraId="77B6D198" w14:textId="784252A1" w:rsidR="00D81774" w:rsidRPr="00D81774" w:rsidRDefault="00D81774" w:rsidP="00D81774">
      <w:pPr>
        <w:tabs>
          <w:tab w:val="left" w:pos="2442"/>
        </w:tabs>
        <w:rPr>
          <w:sz w:val="22"/>
          <w:szCs w:val="22"/>
          <w:lang w:val="en-US"/>
        </w:rPr>
      </w:pPr>
      <w:r>
        <w:rPr>
          <w:sz w:val="22"/>
          <w:szCs w:val="22"/>
          <w:lang w:val="en-US"/>
        </w:rPr>
        <w:t xml:space="preserve">The gender gap has emerged unevenly across the world. </w:t>
      </w:r>
      <w:r w:rsidR="008C0DF3">
        <w:rPr>
          <w:sz w:val="22"/>
          <w:szCs w:val="22"/>
          <w:lang w:val="en-US"/>
        </w:rPr>
        <w:t xml:space="preserve">While most countries, including the United States, exhibit a pattern whereby initially women are slightly more likely </w:t>
      </w:r>
      <w:proofErr w:type="spellStart"/>
      <w:r w:rsidR="008C0DF3">
        <w:rPr>
          <w:sz w:val="22"/>
          <w:szCs w:val="22"/>
          <w:lang w:val="en-US"/>
        </w:rPr>
        <w:t>then</w:t>
      </w:r>
      <w:proofErr w:type="spellEnd"/>
      <w:r w:rsidR="008C0DF3">
        <w:rPr>
          <w:sz w:val="22"/>
          <w:szCs w:val="22"/>
          <w:lang w:val="en-US"/>
        </w:rPr>
        <w:t xml:space="preserve"> men to vote for conservative parties, and then transition into a period of realignment without strong correlation, and then finally into a period where women – especially those from younger cohorts or with education – vote for left wing parties – Britain remained stuck in the realignment stage. (Campbell and </w:t>
      </w:r>
      <w:proofErr w:type="spellStart"/>
      <w:r w:rsidR="008C0DF3">
        <w:rPr>
          <w:sz w:val="22"/>
          <w:szCs w:val="22"/>
          <w:lang w:val="en-US"/>
        </w:rPr>
        <w:t>Shorrocks</w:t>
      </w:r>
      <w:proofErr w:type="spellEnd"/>
      <w:r w:rsidR="008C0DF3">
        <w:rPr>
          <w:sz w:val="22"/>
          <w:szCs w:val="22"/>
          <w:lang w:val="en-US"/>
        </w:rPr>
        <w:t xml:space="preserve"> 2021). This began to change in 2017, as the modern gender gap emerged women became more likely to vote for </w:t>
      </w:r>
      <w:proofErr w:type="spellStart"/>
      <w:r w:rsidR="008C0DF3">
        <w:rPr>
          <w:sz w:val="22"/>
          <w:szCs w:val="22"/>
          <w:lang w:val="en-US"/>
        </w:rPr>
        <w:t>Labour</w:t>
      </w:r>
      <w:proofErr w:type="spellEnd"/>
      <w:r w:rsidR="008C0DF3">
        <w:rPr>
          <w:sz w:val="22"/>
          <w:szCs w:val="22"/>
          <w:lang w:val="en-US"/>
        </w:rPr>
        <w:t xml:space="preserve"> and men became more likely to vote Conservative. The gender gap which emerged in 2017 and was sustained in 2017 showed that the gender gap was only </w:t>
      </w:r>
      <w:proofErr w:type="spellStart"/>
      <w:r w:rsidR="008C0DF3">
        <w:rPr>
          <w:sz w:val="22"/>
          <w:szCs w:val="22"/>
          <w:lang w:val="en-US"/>
        </w:rPr>
        <w:t>stastically</w:t>
      </w:r>
      <w:proofErr w:type="spellEnd"/>
      <w:r w:rsidR="008C0DF3">
        <w:rPr>
          <w:sz w:val="22"/>
          <w:szCs w:val="22"/>
          <w:lang w:val="en-US"/>
        </w:rPr>
        <w:t xml:space="preserve"> significant among younger voters, and most significant for predicting propensity to vote for newer parties (Brexit and Green parties)</w:t>
      </w:r>
      <w:r w:rsidR="0032502D">
        <w:rPr>
          <w:sz w:val="22"/>
          <w:szCs w:val="22"/>
          <w:lang w:val="en-US"/>
        </w:rPr>
        <w:t xml:space="preserve">. It is notable that party supply and electoral context was highly determinative of the expression of the gap; in the European Parliament </w:t>
      </w:r>
      <w:proofErr w:type="spellStart"/>
      <w:r w:rsidR="0032502D">
        <w:rPr>
          <w:sz w:val="22"/>
          <w:szCs w:val="22"/>
          <w:lang w:val="en-US"/>
        </w:rPr>
        <w:t>elecitons</w:t>
      </w:r>
      <w:proofErr w:type="spellEnd"/>
      <w:r w:rsidR="0032502D">
        <w:rPr>
          <w:sz w:val="22"/>
          <w:szCs w:val="22"/>
          <w:lang w:val="en-US"/>
        </w:rPr>
        <w:t xml:space="preserve"> of 2019, the vote shifted significantly to those new parties, even </w:t>
      </w:r>
      <w:proofErr w:type="spellStart"/>
      <w:r w:rsidR="0032502D">
        <w:rPr>
          <w:sz w:val="22"/>
          <w:szCs w:val="22"/>
          <w:lang w:val="en-US"/>
        </w:rPr>
        <w:t>moreso</w:t>
      </w:r>
      <w:proofErr w:type="spellEnd"/>
      <w:r w:rsidR="0032502D">
        <w:rPr>
          <w:sz w:val="22"/>
          <w:szCs w:val="22"/>
          <w:lang w:val="en-US"/>
        </w:rPr>
        <w:t xml:space="preserve"> then its predictive power in the EP election. This was in part a product of general polarization and changes in the party system which accompanied Brexit.</w:t>
      </w:r>
    </w:p>
    <w:p w14:paraId="0A79400E" w14:textId="2C03AC9E" w:rsidR="0032502D" w:rsidRPr="0032502D" w:rsidRDefault="0032502D" w:rsidP="0032502D">
      <w:pPr>
        <w:tabs>
          <w:tab w:val="left" w:pos="2442"/>
        </w:tabs>
        <w:rPr>
          <w:sz w:val="22"/>
          <w:szCs w:val="22"/>
          <w:lang w:val="en-US"/>
        </w:rPr>
      </w:pPr>
      <w:r>
        <w:rPr>
          <w:sz w:val="22"/>
          <w:szCs w:val="22"/>
          <w:lang w:val="en-US"/>
        </w:rPr>
        <w:t xml:space="preserve">Europe exhibits a pattern </w:t>
      </w:r>
      <w:proofErr w:type="gramStart"/>
      <w:r>
        <w:rPr>
          <w:sz w:val="22"/>
          <w:szCs w:val="22"/>
          <w:lang w:val="en-US"/>
        </w:rPr>
        <w:t>similar to</w:t>
      </w:r>
      <w:proofErr w:type="gramEnd"/>
      <w:r>
        <w:rPr>
          <w:sz w:val="22"/>
          <w:szCs w:val="22"/>
          <w:lang w:val="en-US"/>
        </w:rPr>
        <w:t xml:space="preserve"> the United States, whereby cohorts born before roughly 1950-55 have men holding slightly more left-wing views and cohorts after this date generally having women be more left-wing. The gap, however, is stronger after the 1950s then before, especially among educated women. </w:t>
      </w:r>
      <w:r w:rsidR="00153E64">
        <w:rPr>
          <w:sz w:val="22"/>
          <w:szCs w:val="22"/>
          <w:lang w:val="en-US"/>
        </w:rPr>
        <w:t>Women are especially unlikely to vote for right-wing populist parties. For example, after holding for all other factors, there is a coefficient for gender of 0.48 in predicting voting for the far-right Progress Party (meaning that there is a multiplicative effect in comparing the likelihood of voting for the Progress Party for a man vs a woman.)</w:t>
      </w:r>
    </w:p>
    <w:p w14:paraId="7EC6C1F1" w14:textId="0838424E" w:rsidR="00346851" w:rsidRPr="00346851" w:rsidRDefault="00346851" w:rsidP="00346851">
      <w:pPr>
        <w:tabs>
          <w:tab w:val="left" w:pos="2442"/>
        </w:tabs>
        <w:rPr>
          <w:sz w:val="22"/>
          <w:szCs w:val="22"/>
          <w:lang w:val="en-US"/>
        </w:rPr>
      </w:pPr>
      <w:r>
        <w:rPr>
          <w:sz w:val="22"/>
          <w:szCs w:val="22"/>
          <w:lang w:val="en-US"/>
        </w:rPr>
        <w:t xml:space="preserve">Supply side explanations of the gender gap focus on the positions that parties take and how they appeal to voters. Supply-side explanations are not one that solely credit the positions party take with </w:t>
      </w:r>
      <w:r w:rsidR="00093302">
        <w:rPr>
          <w:sz w:val="22"/>
          <w:szCs w:val="22"/>
          <w:lang w:val="en-US"/>
        </w:rPr>
        <w:t>explaining</w:t>
      </w:r>
      <w:r>
        <w:rPr>
          <w:sz w:val="22"/>
          <w:szCs w:val="22"/>
          <w:lang w:val="en-US"/>
        </w:rPr>
        <w:t xml:space="preserve"> the gap, as there must be some demand-side element introduced into the equation, but they assign primacy to the actions or decisions of parties in the emergence of the gap, or argue that movements in party positions were what eventually triggered the emergence of the gender gap. In the United States, supply-side explanations of the gender gap like that of Gillion et al. (2020) argue that it was initially widening party polarization in the United States from the 1960s through the 1980s</w:t>
      </w:r>
      <w:r w:rsidR="00093302">
        <w:rPr>
          <w:sz w:val="22"/>
          <w:szCs w:val="22"/>
          <w:lang w:val="en-US"/>
        </w:rPr>
        <w:t>, and then the subsequent noticing of that polarization on the part of women (who had long-standing preexisting differences in policy slightly leftward to that of Americans) which drove the creation of the modern gap. When parties drift towards policy positions which might appeal more to men (like anti-immigration or nationalism) or, on the other side, to more redistributive policies, evidence suggests that this widens the gender gap; the emergence of the modern gender gap in Europe has been strongly strengthened by the new prominence of far-right parties.</w:t>
      </w:r>
    </w:p>
    <w:p w14:paraId="1086C450" w14:textId="6E253E39" w:rsidR="00B94F2E" w:rsidRDefault="00093302" w:rsidP="00093302">
      <w:pPr>
        <w:tabs>
          <w:tab w:val="left" w:pos="2442"/>
        </w:tabs>
        <w:rPr>
          <w:sz w:val="22"/>
          <w:szCs w:val="22"/>
          <w:lang w:val="en-US"/>
        </w:rPr>
      </w:pPr>
      <w:r>
        <w:rPr>
          <w:sz w:val="22"/>
          <w:szCs w:val="22"/>
          <w:lang w:val="en-US"/>
        </w:rPr>
        <w:t xml:space="preserve">As mentioned above, supply-side explanations are inseparable from demand-side explanations, because differentiating of party positions leading to a gender gap is reliant to some degree on a preexisting difference in policy positions between men and women, especially because few studies have suggested that party’s shifting of positions may have a constitutive effect on creating an electorate with a bigger gender gap. Gillion et al. (2020) suggests that long-standing ideological differences whereby women were more left-wing </w:t>
      </w:r>
      <w:proofErr w:type="gramStart"/>
      <w:r>
        <w:rPr>
          <w:sz w:val="22"/>
          <w:szCs w:val="22"/>
          <w:lang w:val="en-US"/>
        </w:rPr>
        <w:t>then</w:t>
      </w:r>
      <w:proofErr w:type="gramEnd"/>
      <w:r>
        <w:rPr>
          <w:sz w:val="22"/>
          <w:szCs w:val="22"/>
          <w:lang w:val="en-US"/>
        </w:rPr>
        <w:t xml:space="preserve"> men, a change that they argue was largely unchanging over time, resulted in the supply-side explanation of parties shifting position being the key mover. But plenty of explanations which embrace to some degree Inglehart and Norris’s modernization argument argue that changes in women’s status or general changes in the economy have driven changes in the electorate which have created a modern gender gap. </w:t>
      </w:r>
    </w:p>
    <w:p w14:paraId="198CCD4E" w14:textId="1BCFDE10" w:rsidR="00346851" w:rsidRDefault="00093302" w:rsidP="00093302">
      <w:pPr>
        <w:tabs>
          <w:tab w:val="left" w:pos="2442"/>
        </w:tabs>
        <w:rPr>
          <w:sz w:val="22"/>
          <w:szCs w:val="22"/>
          <w:lang w:val="en-US"/>
        </w:rPr>
      </w:pPr>
      <w:r>
        <w:rPr>
          <w:sz w:val="22"/>
          <w:szCs w:val="22"/>
          <w:lang w:val="en-US"/>
        </w:rPr>
        <w:t xml:space="preserve">In the US case, Emmenegger and </w:t>
      </w:r>
      <w:proofErr w:type="spellStart"/>
      <w:r>
        <w:rPr>
          <w:sz w:val="22"/>
          <w:szCs w:val="22"/>
          <w:lang w:val="en-US"/>
        </w:rPr>
        <w:t>Manow</w:t>
      </w:r>
      <w:proofErr w:type="spellEnd"/>
      <w:r>
        <w:rPr>
          <w:sz w:val="22"/>
          <w:szCs w:val="22"/>
          <w:lang w:val="en-US"/>
        </w:rPr>
        <w:t xml:space="preserve"> (2014) argue that women were initially more religious </w:t>
      </w:r>
      <w:r w:rsidR="00B94F2E">
        <w:rPr>
          <w:sz w:val="22"/>
          <w:szCs w:val="22"/>
          <w:lang w:val="en-US"/>
        </w:rPr>
        <w:t>than</w:t>
      </w:r>
      <w:r>
        <w:rPr>
          <w:sz w:val="22"/>
          <w:szCs w:val="22"/>
          <w:lang w:val="en-US"/>
        </w:rPr>
        <w:t xml:space="preserve"> men, and so while they had more left-wing policy preferences this is overridden in older cohorts by the high salience of religion, which drove them to be more likely for some period to vote for Republicans relative to Democrats</w:t>
      </w:r>
      <w:r w:rsidR="00B94F2E">
        <w:rPr>
          <w:sz w:val="22"/>
          <w:szCs w:val="22"/>
          <w:lang w:val="en-US"/>
        </w:rPr>
        <w:t xml:space="preserve">. This high salience of religion is explained by their lowered autonomy in the home and a higher degree of education achieved by men; secularization and the lowered salience of religion in younger cohorts (which as a process is left mostly unexplained; it is not only explained by increasing employment in the labor force or by education, which can be controlled for and still find a strong effect of religion on voting preferences) causes women to vote more based on their left-right positioning rather </w:t>
      </w:r>
      <w:proofErr w:type="spellStart"/>
      <w:r w:rsidR="00B94F2E">
        <w:rPr>
          <w:sz w:val="22"/>
          <w:szCs w:val="22"/>
          <w:lang w:val="en-US"/>
        </w:rPr>
        <w:t>then</w:t>
      </w:r>
      <w:proofErr w:type="spellEnd"/>
      <w:r w:rsidR="00B94F2E">
        <w:rPr>
          <w:sz w:val="22"/>
          <w:szCs w:val="22"/>
          <w:lang w:val="en-US"/>
        </w:rPr>
        <w:t xml:space="preserve"> their religious views. Notably, in both Emmenegger and </w:t>
      </w:r>
      <w:proofErr w:type="spellStart"/>
      <w:r w:rsidR="00B94F2E">
        <w:rPr>
          <w:sz w:val="22"/>
          <w:szCs w:val="22"/>
          <w:lang w:val="en-US"/>
        </w:rPr>
        <w:t>Manow’s</w:t>
      </w:r>
      <w:proofErr w:type="spellEnd"/>
      <w:r w:rsidR="00B94F2E">
        <w:rPr>
          <w:sz w:val="22"/>
          <w:szCs w:val="22"/>
          <w:lang w:val="en-US"/>
        </w:rPr>
        <w:t xml:space="preserve"> and in Gillion et al.’s  account, women are assumed to essentially always have had slightly more left-wing views (which might be attributed to early gendered socialization around care and dependence) and to simply have aligned those already held views with the party alignment within the last few decades, for (in the first case) secularization and in the second case polarization. </w:t>
      </w:r>
    </w:p>
    <w:p w14:paraId="6DE54E49" w14:textId="79EB9EF5" w:rsidR="00B94F2E" w:rsidRDefault="00B94F2E" w:rsidP="00093302">
      <w:pPr>
        <w:tabs>
          <w:tab w:val="left" w:pos="2442"/>
        </w:tabs>
        <w:rPr>
          <w:sz w:val="22"/>
          <w:szCs w:val="22"/>
          <w:lang w:val="en-US"/>
        </w:rPr>
      </w:pPr>
      <w:r>
        <w:rPr>
          <w:sz w:val="22"/>
          <w:szCs w:val="22"/>
          <w:lang w:val="en-US"/>
        </w:rPr>
        <w:t xml:space="preserve">Internalized norms play a significant role in many of these accounts. In explanations of the European gender gap, internalized norms also play a significant role. </w:t>
      </w:r>
      <w:proofErr w:type="spellStart"/>
      <w:r>
        <w:rPr>
          <w:sz w:val="22"/>
          <w:szCs w:val="22"/>
          <w:lang w:val="en-US"/>
        </w:rPr>
        <w:t>Oshri</w:t>
      </w:r>
      <w:proofErr w:type="spellEnd"/>
      <w:r>
        <w:rPr>
          <w:sz w:val="22"/>
          <w:szCs w:val="22"/>
          <w:lang w:val="en-US"/>
        </w:rPr>
        <w:t xml:space="preserve"> et </w:t>
      </w:r>
      <w:proofErr w:type="gramStart"/>
      <w:r>
        <w:rPr>
          <w:sz w:val="22"/>
          <w:szCs w:val="22"/>
          <w:lang w:val="en-US"/>
        </w:rPr>
        <w:t>al  (</w:t>
      </w:r>
      <w:proofErr w:type="gramEnd"/>
      <w:r>
        <w:rPr>
          <w:sz w:val="22"/>
          <w:szCs w:val="22"/>
          <w:lang w:val="en-US"/>
        </w:rPr>
        <w:t xml:space="preserve">2023.) credit women with a higher propensity to vote for establishment parties or parties assumed to have a chance of achieving government because of a socialized norm to be more cautious; this is held in contrast to men, who are more likely to take risk taking behavior. </w:t>
      </w:r>
    </w:p>
    <w:p w14:paraId="696F9467" w14:textId="28E2723C" w:rsidR="00B94F2E" w:rsidRDefault="00B94F2E" w:rsidP="00093302">
      <w:pPr>
        <w:tabs>
          <w:tab w:val="left" w:pos="2442"/>
        </w:tabs>
        <w:rPr>
          <w:sz w:val="22"/>
          <w:szCs w:val="22"/>
          <w:lang w:val="en-US"/>
        </w:rPr>
      </w:pPr>
      <w:r>
        <w:rPr>
          <w:sz w:val="22"/>
          <w:szCs w:val="22"/>
          <w:lang w:val="en-US"/>
        </w:rPr>
        <w:t xml:space="preserve">One emerges out of the literature with the sense that the gender gap has emerged in interaction with complex shifts in the structures of advanced industrial economies, and that it is the interaction between the “left-wing” (for lack of a better word) socialized norms of women voters, and the increased education and bargaining power of a significant bloc of female voters, and the options presented by the party system which have led to the emergence of the modern gender gap in most advanced industrial democracies. Inter-election variation in the gender gap is best explained by variation in party position rather </w:t>
      </w:r>
      <w:proofErr w:type="spellStart"/>
      <w:r>
        <w:rPr>
          <w:sz w:val="22"/>
          <w:szCs w:val="22"/>
          <w:lang w:val="en-US"/>
        </w:rPr>
        <w:t>then</w:t>
      </w:r>
      <w:proofErr w:type="spellEnd"/>
      <w:r>
        <w:rPr>
          <w:sz w:val="22"/>
          <w:szCs w:val="22"/>
          <w:lang w:val="en-US"/>
        </w:rPr>
        <w:t xml:space="preserve"> in any huge change in the electorate, given the structural conditions of women are relatively fixed while parties can undergo rapid change in positions and electoral chances election-by-election. (</w:t>
      </w:r>
      <w:proofErr w:type="spellStart"/>
      <w:r>
        <w:rPr>
          <w:sz w:val="22"/>
          <w:szCs w:val="22"/>
          <w:lang w:val="en-US"/>
        </w:rPr>
        <w:t>Sherrocks</w:t>
      </w:r>
      <w:proofErr w:type="spellEnd"/>
      <w:r>
        <w:rPr>
          <w:sz w:val="22"/>
          <w:szCs w:val="22"/>
          <w:lang w:val="en-US"/>
        </w:rPr>
        <w:t xml:space="preserve"> 2021)</w:t>
      </w:r>
    </w:p>
    <w:p w14:paraId="7089419B" w14:textId="35BBB5C9" w:rsidR="00B94F2E" w:rsidRDefault="00B94F2E" w:rsidP="00093302">
      <w:pPr>
        <w:tabs>
          <w:tab w:val="left" w:pos="2442"/>
        </w:tabs>
        <w:rPr>
          <w:sz w:val="22"/>
          <w:szCs w:val="22"/>
          <w:lang w:val="en-US"/>
        </w:rPr>
      </w:pPr>
      <w:r>
        <w:rPr>
          <w:sz w:val="22"/>
          <w:szCs w:val="22"/>
          <w:lang w:val="en-US"/>
        </w:rPr>
        <w:t>In recent years there has been worried speculation that the gender gap may be widening among younger cohorts. In some advanced industrialized democracies – most prominently South Korea – gender has taken a centrality to democratic politics that it has never taken before.</w:t>
      </w:r>
      <w:r w:rsidR="003178A4">
        <w:rPr>
          <w:sz w:val="22"/>
          <w:szCs w:val="22"/>
          <w:lang w:val="en-US"/>
        </w:rPr>
        <w:t xml:space="preserve"> An exit poll (which, it should be noted, can be </w:t>
      </w:r>
      <w:proofErr w:type="gramStart"/>
      <w:r w:rsidR="003178A4">
        <w:rPr>
          <w:sz w:val="22"/>
          <w:szCs w:val="22"/>
          <w:lang w:val="en-US"/>
        </w:rPr>
        <w:t>fairly imprecise</w:t>
      </w:r>
      <w:proofErr w:type="gramEnd"/>
      <w:r w:rsidR="003178A4">
        <w:rPr>
          <w:sz w:val="22"/>
          <w:szCs w:val="22"/>
          <w:lang w:val="en-US"/>
        </w:rPr>
        <w:t>) showed that 59 percent of men in their twenties voted for the far-right Yoon Suk Yeol in the 2022 South Korean election, while just 34% of women in their 20s supported the candidate. An FT opinion piece published in 2024 argue that the worldwide shift among younger cohorts could “leave ripples for generations to come, impacting far more than vote counts.”</w:t>
      </w:r>
    </w:p>
    <w:p w14:paraId="0467C012" w14:textId="245BF739" w:rsidR="003178A4" w:rsidRDefault="003178A4" w:rsidP="00093302">
      <w:pPr>
        <w:tabs>
          <w:tab w:val="left" w:pos="2442"/>
        </w:tabs>
        <w:rPr>
          <w:sz w:val="22"/>
          <w:szCs w:val="22"/>
          <w:lang w:val="en-US"/>
        </w:rPr>
      </w:pPr>
      <w:r>
        <w:rPr>
          <w:sz w:val="22"/>
          <w:szCs w:val="22"/>
          <w:lang w:val="en-US"/>
        </w:rPr>
        <w:t xml:space="preserve">But the shift does not seem to be taking place uniformly. </w:t>
      </w:r>
      <w:proofErr w:type="spellStart"/>
      <w:r>
        <w:rPr>
          <w:sz w:val="22"/>
          <w:szCs w:val="22"/>
          <w:lang w:val="en-US"/>
        </w:rPr>
        <w:t>Nennstiel</w:t>
      </w:r>
      <w:proofErr w:type="spellEnd"/>
      <w:r>
        <w:rPr>
          <w:sz w:val="22"/>
          <w:szCs w:val="22"/>
          <w:lang w:val="en-US"/>
        </w:rPr>
        <w:t xml:space="preserve"> and Hudde (2025) analyzed shifts in younger cohorts between men and women using Eurobarometer data and found heterogeneity, with 14 countries showing stability and close congruence between men and women’s ideological views; the gender gap emerges only in seven countries. In 11 of the 32 European countries the modern youth gender gap has widened, and especially in those countries with greater gender equality. Korea seems to be the exception to the European case</w:t>
      </w:r>
      <w:r w:rsidR="00C26BCD">
        <w:rPr>
          <w:sz w:val="22"/>
          <w:szCs w:val="22"/>
          <w:lang w:val="en-US"/>
        </w:rPr>
        <w:t xml:space="preserve">. The 2025 election saw the two major parties put forward more mainstream candidates and the emergence of the young far-right Lee Jun-Seok at the head of the Reform party. While Lee Jun-Seok only achieved 11 percent of the vote, exit polls showed he </w:t>
      </w:r>
      <w:r w:rsidR="00C26BCD">
        <w:rPr>
          <w:i/>
          <w:iCs/>
          <w:sz w:val="22"/>
          <w:szCs w:val="22"/>
          <w:lang w:val="en-US"/>
        </w:rPr>
        <w:t xml:space="preserve">led </w:t>
      </w:r>
      <w:r w:rsidR="00C26BCD">
        <w:rPr>
          <w:sz w:val="22"/>
          <w:szCs w:val="22"/>
          <w:lang w:val="en-US"/>
        </w:rPr>
        <w:t xml:space="preserve">among men in their 20s at 37.2 percent while women in the same bracket overwhelmingly favored the center-left Lee Jae Myung and only voted for Lee Jun-Seok at 10.3 percent. This is admittedly speculation, but we might expect emerging gender polarization in Korea to be driven more by the actions of political entrepreneurs who capitalize on the issue rather than a deep-set factor of the party system. But Europe and the United States, while exhibiting moderate gender polarization, is unlikely to look like Korea anytime soon, where democracy has polarized for younger cohorts along gender lines in a way unseen in any other democracy. </w:t>
      </w:r>
    </w:p>
    <w:p w14:paraId="1FC6E520" w14:textId="77777777" w:rsidR="002518F1" w:rsidRDefault="002518F1" w:rsidP="002518F1">
      <w:pPr>
        <w:tabs>
          <w:tab w:val="left" w:pos="2442"/>
        </w:tabs>
        <w:rPr>
          <w:sz w:val="22"/>
          <w:szCs w:val="22"/>
          <w:lang w:val="en-US"/>
        </w:rPr>
      </w:pPr>
    </w:p>
    <w:p w14:paraId="34544CB1" w14:textId="77777777" w:rsidR="00C26BCD" w:rsidRDefault="00C26BCD" w:rsidP="002518F1">
      <w:pPr>
        <w:tabs>
          <w:tab w:val="left" w:pos="2442"/>
        </w:tabs>
        <w:rPr>
          <w:sz w:val="22"/>
          <w:szCs w:val="22"/>
          <w:lang w:val="en-US"/>
        </w:rPr>
      </w:pPr>
    </w:p>
    <w:p w14:paraId="3FFB9912" w14:textId="77777777" w:rsidR="00C26BCD" w:rsidRPr="00C26BCD" w:rsidRDefault="00C26BCD" w:rsidP="00C26BCD">
      <w:pPr>
        <w:spacing w:after="0" w:line="240" w:lineRule="auto"/>
        <w:ind w:hanging="480"/>
        <w:rPr>
          <w:rFonts w:ascii="Times New Roman" w:eastAsia="Times New Roman" w:hAnsi="Times New Roman" w:cs="Times New Roman"/>
          <w:kern w:val="0"/>
          <w:lang w:val="en-US"/>
          <w14:ligatures w14:val="none"/>
        </w:rPr>
      </w:pPr>
      <w:r w:rsidRPr="00C26BCD">
        <w:rPr>
          <w:rFonts w:ascii="Times New Roman" w:eastAsia="Times New Roman" w:hAnsi="Times New Roman" w:cs="Times New Roman"/>
          <w:kern w:val="0"/>
          <w:lang w:val="en-US"/>
          <w14:ligatures w14:val="none"/>
        </w:rPr>
        <w:t xml:space="preserve">Campbell, Rosie, and Rosalind </w:t>
      </w:r>
      <w:proofErr w:type="spellStart"/>
      <w:r w:rsidRPr="00C26BCD">
        <w:rPr>
          <w:rFonts w:ascii="Times New Roman" w:eastAsia="Times New Roman" w:hAnsi="Times New Roman" w:cs="Times New Roman"/>
          <w:kern w:val="0"/>
          <w:lang w:val="en-US"/>
          <w14:ligatures w14:val="none"/>
        </w:rPr>
        <w:t>Shorrocks</w:t>
      </w:r>
      <w:proofErr w:type="spellEnd"/>
      <w:r w:rsidRPr="00C26BCD">
        <w:rPr>
          <w:rFonts w:ascii="Times New Roman" w:eastAsia="Times New Roman" w:hAnsi="Times New Roman" w:cs="Times New Roman"/>
          <w:kern w:val="0"/>
          <w:lang w:val="en-US"/>
          <w14:ligatures w14:val="none"/>
        </w:rPr>
        <w:t xml:space="preserve">. “Finally Rising with the Tide? Gender and the Vote in the 2019 British Elections.” </w:t>
      </w:r>
      <w:r w:rsidRPr="00C26BCD">
        <w:rPr>
          <w:rFonts w:ascii="Times New Roman" w:eastAsia="Times New Roman" w:hAnsi="Times New Roman" w:cs="Times New Roman"/>
          <w:i/>
          <w:iCs/>
          <w:kern w:val="0"/>
          <w:lang w:val="en-US"/>
          <w14:ligatures w14:val="none"/>
        </w:rPr>
        <w:t>Journal of Elections, Public Opinion and Parties</w:t>
      </w:r>
      <w:r w:rsidRPr="00C26BCD">
        <w:rPr>
          <w:rFonts w:ascii="Times New Roman" w:eastAsia="Times New Roman" w:hAnsi="Times New Roman" w:cs="Times New Roman"/>
          <w:kern w:val="0"/>
          <w:lang w:val="en-US"/>
          <w14:ligatures w14:val="none"/>
        </w:rPr>
        <w:t xml:space="preserve"> 31, no. 4 (2021): 488–507. </w:t>
      </w:r>
      <w:hyperlink r:id="rId5" w:history="1">
        <w:r w:rsidRPr="00C26BCD">
          <w:rPr>
            <w:rFonts w:ascii="Times New Roman" w:eastAsia="Times New Roman" w:hAnsi="Times New Roman" w:cs="Times New Roman"/>
            <w:color w:val="0000FF"/>
            <w:kern w:val="0"/>
            <w:u w:val="single"/>
            <w:lang w:val="en-US"/>
            <w14:ligatures w14:val="none"/>
          </w:rPr>
          <w:t>https://doi.org/10.1080/17457289.2021.1968412</w:t>
        </w:r>
      </w:hyperlink>
      <w:r w:rsidRPr="00C26BCD">
        <w:rPr>
          <w:rFonts w:ascii="Times New Roman" w:eastAsia="Times New Roman" w:hAnsi="Times New Roman" w:cs="Times New Roman"/>
          <w:kern w:val="0"/>
          <w:lang w:val="en-US"/>
          <w14:ligatures w14:val="none"/>
        </w:rPr>
        <w:t>.</w:t>
      </w:r>
    </w:p>
    <w:p w14:paraId="322C1757" w14:textId="77777777" w:rsidR="00C26BCD" w:rsidRPr="00C26BCD" w:rsidRDefault="00C26BCD" w:rsidP="00C26BCD">
      <w:pPr>
        <w:spacing w:after="0" w:line="240" w:lineRule="auto"/>
        <w:ind w:hanging="480"/>
        <w:rPr>
          <w:rFonts w:ascii="Times New Roman" w:eastAsia="Times New Roman" w:hAnsi="Times New Roman" w:cs="Times New Roman"/>
          <w:kern w:val="0"/>
          <w:lang w:val="en-US"/>
          <w14:ligatures w14:val="none"/>
        </w:rPr>
      </w:pPr>
      <w:r w:rsidRPr="00C26BCD">
        <w:rPr>
          <w:rFonts w:ascii="Times New Roman" w:eastAsia="Times New Roman" w:hAnsi="Times New Roman" w:cs="Times New Roman"/>
          <w:kern w:val="0"/>
          <w:lang w:val="en-US"/>
          <w14:ligatures w14:val="none"/>
        </w:rPr>
        <w:t xml:space="preserve">Campbell, Rosie, and Rosalind </w:t>
      </w:r>
      <w:proofErr w:type="spellStart"/>
      <w:r w:rsidRPr="00C26BCD">
        <w:rPr>
          <w:rFonts w:ascii="Times New Roman" w:eastAsia="Times New Roman" w:hAnsi="Times New Roman" w:cs="Times New Roman"/>
          <w:kern w:val="0"/>
          <w:lang w:val="en-US"/>
          <w14:ligatures w14:val="none"/>
        </w:rPr>
        <w:t>Shorrocks</w:t>
      </w:r>
      <w:proofErr w:type="spellEnd"/>
      <w:r w:rsidRPr="00C26BCD">
        <w:rPr>
          <w:rFonts w:ascii="Times New Roman" w:eastAsia="Times New Roman" w:hAnsi="Times New Roman" w:cs="Times New Roman"/>
          <w:kern w:val="0"/>
          <w:lang w:val="en-US"/>
          <w14:ligatures w14:val="none"/>
        </w:rPr>
        <w:t xml:space="preserve">. </w:t>
      </w:r>
      <w:r w:rsidRPr="00C26BCD">
        <w:rPr>
          <w:rFonts w:ascii="Times New Roman" w:eastAsia="Times New Roman" w:hAnsi="Times New Roman" w:cs="Times New Roman"/>
          <w:i/>
          <w:iCs/>
          <w:kern w:val="0"/>
          <w:lang w:val="en-US"/>
          <w14:ligatures w14:val="none"/>
        </w:rPr>
        <w:t>The Evolution of the Gender Gap?</w:t>
      </w:r>
      <w:r w:rsidRPr="00C26BCD">
        <w:rPr>
          <w:rFonts w:ascii="Times New Roman" w:eastAsia="Times New Roman" w:hAnsi="Times New Roman" w:cs="Times New Roman"/>
          <w:kern w:val="0"/>
          <w:lang w:val="en-US"/>
          <w14:ligatures w14:val="none"/>
        </w:rPr>
        <w:t xml:space="preserve"> n.d.</w:t>
      </w:r>
    </w:p>
    <w:p w14:paraId="6088293D" w14:textId="77777777" w:rsidR="00C26BCD" w:rsidRPr="00C26BCD" w:rsidRDefault="00C26BCD" w:rsidP="00C26BCD">
      <w:pPr>
        <w:spacing w:after="0" w:line="240" w:lineRule="auto"/>
        <w:ind w:hanging="480"/>
        <w:rPr>
          <w:rFonts w:ascii="Times New Roman" w:eastAsia="Times New Roman" w:hAnsi="Times New Roman" w:cs="Times New Roman"/>
          <w:kern w:val="0"/>
          <w:lang w:val="en-US"/>
          <w14:ligatures w14:val="none"/>
        </w:rPr>
      </w:pPr>
      <w:r w:rsidRPr="00C26BCD">
        <w:rPr>
          <w:rFonts w:ascii="Times New Roman" w:eastAsia="Times New Roman" w:hAnsi="Times New Roman" w:cs="Times New Roman"/>
          <w:kern w:val="0"/>
          <w:lang w:val="en-US"/>
          <w14:ligatures w14:val="none"/>
        </w:rPr>
        <w:t xml:space="preserve">Edlund, Lena, and Rohini Pande. “Why Have Women Become Left-Wing? The Political Gender Gap and the Decline in Marriage*.” </w:t>
      </w:r>
      <w:r w:rsidRPr="00C26BCD">
        <w:rPr>
          <w:rFonts w:ascii="Times New Roman" w:eastAsia="Times New Roman" w:hAnsi="Times New Roman" w:cs="Times New Roman"/>
          <w:i/>
          <w:iCs/>
          <w:kern w:val="0"/>
          <w:lang w:val="en-US"/>
          <w14:ligatures w14:val="none"/>
        </w:rPr>
        <w:t>The Quarterly Journal of Economics</w:t>
      </w:r>
      <w:r w:rsidRPr="00C26BCD">
        <w:rPr>
          <w:rFonts w:ascii="Times New Roman" w:eastAsia="Times New Roman" w:hAnsi="Times New Roman" w:cs="Times New Roman"/>
          <w:kern w:val="0"/>
          <w:lang w:val="en-US"/>
          <w14:ligatures w14:val="none"/>
        </w:rPr>
        <w:t xml:space="preserve"> 117, no. 3 (2002): 917–61. </w:t>
      </w:r>
      <w:hyperlink r:id="rId6" w:history="1">
        <w:r w:rsidRPr="00C26BCD">
          <w:rPr>
            <w:rFonts w:ascii="Times New Roman" w:eastAsia="Times New Roman" w:hAnsi="Times New Roman" w:cs="Times New Roman"/>
            <w:color w:val="0000FF"/>
            <w:kern w:val="0"/>
            <w:u w:val="single"/>
            <w:lang w:val="en-US"/>
            <w14:ligatures w14:val="none"/>
          </w:rPr>
          <w:t>https://doi.org/10.1162/003355302760193922</w:t>
        </w:r>
      </w:hyperlink>
      <w:r w:rsidRPr="00C26BCD">
        <w:rPr>
          <w:rFonts w:ascii="Times New Roman" w:eastAsia="Times New Roman" w:hAnsi="Times New Roman" w:cs="Times New Roman"/>
          <w:kern w:val="0"/>
          <w:lang w:val="en-US"/>
          <w14:ligatures w14:val="none"/>
        </w:rPr>
        <w:t>.</w:t>
      </w:r>
    </w:p>
    <w:p w14:paraId="62A2F1AF" w14:textId="77777777" w:rsidR="00C26BCD" w:rsidRPr="00C26BCD" w:rsidRDefault="00C26BCD" w:rsidP="00C26BCD">
      <w:pPr>
        <w:spacing w:after="0" w:line="240" w:lineRule="auto"/>
        <w:ind w:hanging="480"/>
        <w:rPr>
          <w:rFonts w:ascii="Times New Roman" w:eastAsia="Times New Roman" w:hAnsi="Times New Roman" w:cs="Times New Roman"/>
          <w:kern w:val="0"/>
          <w:lang w:val="en-US"/>
          <w14:ligatures w14:val="none"/>
        </w:rPr>
      </w:pPr>
      <w:r w:rsidRPr="00C26BCD">
        <w:rPr>
          <w:rFonts w:ascii="Times New Roman" w:eastAsia="Times New Roman" w:hAnsi="Times New Roman" w:cs="Times New Roman"/>
          <w:kern w:val="0"/>
          <w:lang w:val="en-US"/>
          <w14:ligatures w14:val="none"/>
        </w:rPr>
        <w:t xml:space="preserve">Emmenegger, Patrick, and Philip Manow. “Religion and the Gender Vote Gap: Women’s Changed Political Preferences from the 1970s to 2010.” </w:t>
      </w:r>
      <w:r w:rsidRPr="00C26BCD">
        <w:rPr>
          <w:rFonts w:ascii="Times New Roman" w:eastAsia="Times New Roman" w:hAnsi="Times New Roman" w:cs="Times New Roman"/>
          <w:i/>
          <w:iCs/>
          <w:kern w:val="0"/>
          <w:lang w:val="en-US"/>
          <w14:ligatures w14:val="none"/>
        </w:rPr>
        <w:t>Politics &amp; Society</w:t>
      </w:r>
      <w:r w:rsidRPr="00C26BCD">
        <w:rPr>
          <w:rFonts w:ascii="Times New Roman" w:eastAsia="Times New Roman" w:hAnsi="Times New Roman" w:cs="Times New Roman"/>
          <w:kern w:val="0"/>
          <w:lang w:val="en-US"/>
          <w14:ligatures w14:val="none"/>
        </w:rPr>
        <w:t xml:space="preserve"> 42, no. 2 (2014): 166–93. </w:t>
      </w:r>
      <w:hyperlink r:id="rId7" w:history="1">
        <w:r w:rsidRPr="00C26BCD">
          <w:rPr>
            <w:rFonts w:ascii="Times New Roman" w:eastAsia="Times New Roman" w:hAnsi="Times New Roman" w:cs="Times New Roman"/>
            <w:color w:val="0000FF"/>
            <w:kern w:val="0"/>
            <w:u w:val="single"/>
            <w:lang w:val="en-US"/>
            <w14:ligatures w14:val="none"/>
          </w:rPr>
          <w:t>https://doi.org/10.1177/0032329213519419</w:t>
        </w:r>
      </w:hyperlink>
      <w:r w:rsidRPr="00C26BCD">
        <w:rPr>
          <w:rFonts w:ascii="Times New Roman" w:eastAsia="Times New Roman" w:hAnsi="Times New Roman" w:cs="Times New Roman"/>
          <w:kern w:val="0"/>
          <w:lang w:val="en-US"/>
          <w14:ligatures w14:val="none"/>
        </w:rPr>
        <w:t>.</w:t>
      </w:r>
    </w:p>
    <w:p w14:paraId="201EAF54" w14:textId="77777777" w:rsidR="00C26BCD" w:rsidRPr="00C26BCD" w:rsidRDefault="00C26BCD" w:rsidP="00C26BCD">
      <w:pPr>
        <w:spacing w:after="0" w:line="240" w:lineRule="auto"/>
        <w:ind w:hanging="480"/>
        <w:rPr>
          <w:rFonts w:ascii="Times New Roman" w:eastAsia="Times New Roman" w:hAnsi="Times New Roman" w:cs="Times New Roman"/>
          <w:kern w:val="0"/>
          <w:lang w:val="en-US"/>
          <w14:ligatures w14:val="none"/>
        </w:rPr>
      </w:pPr>
      <w:r w:rsidRPr="00C26BCD">
        <w:rPr>
          <w:rFonts w:ascii="Times New Roman" w:eastAsia="Times New Roman" w:hAnsi="Times New Roman" w:cs="Times New Roman"/>
          <w:kern w:val="0"/>
          <w:lang w:val="en-US"/>
          <w14:ligatures w14:val="none"/>
        </w:rPr>
        <w:t xml:space="preserve">Gillion, Daniel Q., Jonathan M. Ladd, and Marc Meredith. “Party Polarization, Ideological Sorting and the Emergence of the US Partisan Gender Gap.” </w:t>
      </w:r>
      <w:r w:rsidRPr="00C26BCD">
        <w:rPr>
          <w:rFonts w:ascii="Times New Roman" w:eastAsia="Times New Roman" w:hAnsi="Times New Roman" w:cs="Times New Roman"/>
          <w:i/>
          <w:iCs/>
          <w:kern w:val="0"/>
          <w:lang w:val="en-US"/>
          <w14:ligatures w14:val="none"/>
        </w:rPr>
        <w:t>British Journal of Political Science</w:t>
      </w:r>
      <w:r w:rsidRPr="00C26BCD">
        <w:rPr>
          <w:rFonts w:ascii="Times New Roman" w:eastAsia="Times New Roman" w:hAnsi="Times New Roman" w:cs="Times New Roman"/>
          <w:kern w:val="0"/>
          <w:lang w:val="en-US"/>
          <w14:ligatures w14:val="none"/>
        </w:rPr>
        <w:t xml:space="preserve"> 50, no. 4 (2020): 1217–43. </w:t>
      </w:r>
      <w:hyperlink r:id="rId8" w:history="1">
        <w:r w:rsidRPr="00C26BCD">
          <w:rPr>
            <w:rFonts w:ascii="Times New Roman" w:eastAsia="Times New Roman" w:hAnsi="Times New Roman" w:cs="Times New Roman"/>
            <w:color w:val="0000FF"/>
            <w:kern w:val="0"/>
            <w:u w:val="single"/>
            <w:lang w:val="en-US"/>
            <w14:ligatures w14:val="none"/>
          </w:rPr>
          <w:t>https://doi.org/10.1017/S0007123418000285</w:t>
        </w:r>
      </w:hyperlink>
      <w:r w:rsidRPr="00C26BCD">
        <w:rPr>
          <w:rFonts w:ascii="Times New Roman" w:eastAsia="Times New Roman" w:hAnsi="Times New Roman" w:cs="Times New Roman"/>
          <w:kern w:val="0"/>
          <w:lang w:val="en-US"/>
          <w14:ligatures w14:val="none"/>
        </w:rPr>
        <w:t>.</w:t>
      </w:r>
    </w:p>
    <w:p w14:paraId="5438DA71" w14:textId="77777777" w:rsidR="00C26BCD" w:rsidRPr="00C26BCD" w:rsidRDefault="00C26BCD" w:rsidP="00C26BCD">
      <w:pPr>
        <w:spacing w:after="0" w:line="240" w:lineRule="auto"/>
        <w:ind w:hanging="480"/>
        <w:rPr>
          <w:rFonts w:ascii="Times New Roman" w:eastAsia="Times New Roman" w:hAnsi="Times New Roman" w:cs="Times New Roman"/>
          <w:kern w:val="0"/>
          <w:lang w:val="en-US"/>
          <w14:ligatures w14:val="none"/>
        </w:rPr>
      </w:pPr>
      <w:r w:rsidRPr="00C26BCD">
        <w:rPr>
          <w:rFonts w:ascii="Times New Roman" w:eastAsia="Times New Roman" w:hAnsi="Times New Roman" w:cs="Times New Roman"/>
          <w:kern w:val="0"/>
          <w:lang w:val="en-US"/>
          <w14:ligatures w14:val="none"/>
        </w:rPr>
        <w:t xml:space="preserve">Gillion, Daniel Q., Jonathan M. Ladd, and Marc Meredith. “Party Polarization, Ideological Sorting and the Emergence of the US Partisan Gender Gap.” </w:t>
      </w:r>
      <w:r w:rsidRPr="00C26BCD">
        <w:rPr>
          <w:rFonts w:ascii="Times New Roman" w:eastAsia="Times New Roman" w:hAnsi="Times New Roman" w:cs="Times New Roman"/>
          <w:i/>
          <w:iCs/>
          <w:kern w:val="0"/>
          <w:lang w:val="en-US"/>
          <w14:ligatures w14:val="none"/>
        </w:rPr>
        <w:t>British Journal of Political Science</w:t>
      </w:r>
      <w:r w:rsidRPr="00C26BCD">
        <w:rPr>
          <w:rFonts w:ascii="Times New Roman" w:eastAsia="Times New Roman" w:hAnsi="Times New Roman" w:cs="Times New Roman"/>
          <w:kern w:val="0"/>
          <w:lang w:val="en-US"/>
          <w14:ligatures w14:val="none"/>
        </w:rPr>
        <w:t xml:space="preserve"> 50, no. 4 (2020): 1217–43. </w:t>
      </w:r>
      <w:hyperlink r:id="rId9" w:history="1">
        <w:r w:rsidRPr="00C26BCD">
          <w:rPr>
            <w:rFonts w:ascii="Times New Roman" w:eastAsia="Times New Roman" w:hAnsi="Times New Roman" w:cs="Times New Roman"/>
            <w:color w:val="0000FF"/>
            <w:kern w:val="0"/>
            <w:u w:val="single"/>
            <w:lang w:val="en-US"/>
            <w14:ligatures w14:val="none"/>
          </w:rPr>
          <w:t>https://doi.org/10.1017/S0007123418000285</w:t>
        </w:r>
      </w:hyperlink>
      <w:r w:rsidRPr="00C26BCD">
        <w:rPr>
          <w:rFonts w:ascii="Times New Roman" w:eastAsia="Times New Roman" w:hAnsi="Times New Roman" w:cs="Times New Roman"/>
          <w:kern w:val="0"/>
          <w:lang w:val="en-US"/>
          <w14:ligatures w14:val="none"/>
        </w:rPr>
        <w:t>.</w:t>
      </w:r>
    </w:p>
    <w:p w14:paraId="24211258" w14:textId="77777777" w:rsidR="00C26BCD" w:rsidRPr="00C26BCD" w:rsidRDefault="00C26BCD" w:rsidP="00C26BCD">
      <w:pPr>
        <w:spacing w:after="0" w:line="240" w:lineRule="auto"/>
        <w:ind w:hanging="480"/>
        <w:rPr>
          <w:rFonts w:ascii="Times New Roman" w:eastAsia="Times New Roman" w:hAnsi="Times New Roman" w:cs="Times New Roman"/>
          <w:kern w:val="0"/>
          <w:lang w:val="en-US"/>
          <w14:ligatures w14:val="none"/>
        </w:rPr>
      </w:pPr>
      <w:proofErr w:type="spellStart"/>
      <w:r w:rsidRPr="00C26BCD">
        <w:rPr>
          <w:rFonts w:ascii="Times New Roman" w:eastAsia="Times New Roman" w:hAnsi="Times New Roman" w:cs="Times New Roman"/>
          <w:kern w:val="0"/>
          <w:lang w:val="en-US"/>
          <w14:ligatures w14:val="none"/>
        </w:rPr>
        <w:t>Harteveld</w:t>
      </w:r>
      <w:proofErr w:type="spellEnd"/>
      <w:r w:rsidRPr="00C26BCD">
        <w:rPr>
          <w:rFonts w:ascii="Times New Roman" w:eastAsia="Times New Roman" w:hAnsi="Times New Roman" w:cs="Times New Roman"/>
          <w:kern w:val="0"/>
          <w:lang w:val="en-US"/>
          <w14:ligatures w14:val="none"/>
        </w:rPr>
        <w:t xml:space="preserve">, Eelco, and Elisabeth Ivarsflaten. “Why Women Avoid the Radical Right: Internalized Norms and Party Reputations.” </w:t>
      </w:r>
      <w:r w:rsidRPr="00C26BCD">
        <w:rPr>
          <w:rFonts w:ascii="Times New Roman" w:eastAsia="Times New Roman" w:hAnsi="Times New Roman" w:cs="Times New Roman"/>
          <w:i/>
          <w:iCs/>
          <w:kern w:val="0"/>
          <w:lang w:val="en-US"/>
          <w14:ligatures w14:val="none"/>
        </w:rPr>
        <w:t>British Journal of Political Science</w:t>
      </w:r>
      <w:r w:rsidRPr="00C26BCD">
        <w:rPr>
          <w:rFonts w:ascii="Times New Roman" w:eastAsia="Times New Roman" w:hAnsi="Times New Roman" w:cs="Times New Roman"/>
          <w:kern w:val="0"/>
          <w:lang w:val="en-US"/>
          <w14:ligatures w14:val="none"/>
        </w:rPr>
        <w:t xml:space="preserve"> 48, no. 2 (2018): 369–84. </w:t>
      </w:r>
      <w:hyperlink r:id="rId10" w:history="1">
        <w:r w:rsidRPr="00C26BCD">
          <w:rPr>
            <w:rFonts w:ascii="Times New Roman" w:eastAsia="Times New Roman" w:hAnsi="Times New Roman" w:cs="Times New Roman"/>
            <w:color w:val="0000FF"/>
            <w:kern w:val="0"/>
            <w:u w:val="single"/>
            <w:lang w:val="en-US"/>
            <w14:ligatures w14:val="none"/>
          </w:rPr>
          <w:t>https://doi.org/10.1017/S0007123415000745</w:t>
        </w:r>
      </w:hyperlink>
      <w:r w:rsidRPr="00C26BCD">
        <w:rPr>
          <w:rFonts w:ascii="Times New Roman" w:eastAsia="Times New Roman" w:hAnsi="Times New Roman" w:cs="Times New Roman"/>
          <w:kern w:val="0"/>
          <w:lang w:val="en-US"/>
          <w14:ligatures w14:val="none"/>
        </w:rPr>
        <w:t>.</w:t>
      </w:r>
    </w:p>
    <w:p w14:paraId="23C98606" w14:textId="77777777" w:rsidR="00C26BCD" w:rsidRPr="00C26BCD" w:rsidRDefault="00C26BCD" w:rsidP="00C26BCD">
      <w:pPr>
        <w:spacing w:after="0" w:line="240" w:lineRule="auto"/>
        <w:ind w:hanging="480"/>
        <w:rPr>
          <w:rFonts w:ascii="Times New Roman" w:eastAsia="Times New Roman" w:hAnsi="Times New Roman" w:cs="Times New Roman"/>
          <w:kern w:val="0"/>
          <w:lang w:val="en-US"/>
          <w14:ligatures w14:val="none"/>
        </w:rPr>
      </w:pPr>
      <w:proofErr w:type="spellStart"/>
      <w:r w:rsidRPr="00C26BCD">
        <w:rPr>
          <w:rFonts w:ascii="Times New Roman" w:eastAsia="Times New Roman" w:hAnsi="Times New Roman" w:cs="Times New Roman"/>
          <w:kern w:val="0"/>
          <w:lang w:val="en-US"/>
          <w14:ligatures w14:val="none"/>
        </w:rPr>
        <w:t>Nennstiel</w:t>
      </w:r>
      <w:proofErr w:type="spellEnd"/>
      <w:r w:rsidRPr="00C26BCD">
        <w:rPr>
          <w:rFonts w:ascii="Times New Roman" w:eastAsia="Times New Roman" w:hAnsi="Times New Roman" w:cs="Times New Roman"/>
          <w:kern w:val="0"/>
          <w:lang w:val="en-US"/>
          <w14:ligatures w14:val="none"/>
        </w:rPr>
        <w:t xml:space="preserve">, Richard, and Ansgar Hudde. “Is There a Growing Gender Divide among Young Adults </w:t>
      </w:r>
      <w:proofErr w:type="gramStart"/>
      <w:r w:rsidRPr="00C26BCD">
        <w:rPr>
          <w:rFonts w:ascii="Times New Roman" w:eastAsia="Times New Roman" w:hAnsi="Times New Roman" w:cs="Times New Roman"/>
          <w:kern w:val="0"/>
          <w:lang w:val="en-US"/>
          <w14:ligatures w14:val="none"/>
        </w:rPr>
        <w:t>in Regard to</w:t>
      </w:r>
      <w:proofErr w:type="gramEnd"/>
      <w:r w:rsidRPr="00C26BCD">
        <w:rPr>
          <w:rFonts w:ascii="Times New Roman" w:eastAsia="Times New Roman" w:hAnsi="Times New Roman" w:cs="Times New Roman"/>
          <w:kern w:val="0"/>
          <w:lang w:val="en-US"/>
          <w14:ligatures w14:val="none"/>
        </w:rPr>
        <w:t xml:space="preserve"> Ideological Left–Right Self-Placement? Evidence from 32 European Countries.” </w:t>
      </w:r>
      <w:r w:rsidRPr="00C26BCD">
        <w:rPr>
          <w:rFonts w:ascii="Times New Roman" w:eastAsia="Times New Roman" w:hAnsi="Times New Roman" w:cs="Times New Roman"/>
          <w:i/>
          <w:iCs/>
          <w:kern w:val="0"/>
          <w:lang w:val="en-US"/>
          <w14:ligatures w14:val="none"/>
        </w:rPr>
        <w:t>European Sociological Review</w:t>
      </w:r>
      <w:r w:rsidRPr="00C26BCD">
        <w:rPr>
          <w:rFonts w:ascii="Times New Roman" w:eastAsia="Times New Roman" w:hAnsi="Times New Roman" w:cs="Times New Roman"/>
          <w:kern w:val="0"/>
          <w:lang w:val="en-US"/>
          <w14:ligatures w14:val="none"/>
        </w:rPr>
        <w:t xml:space="preserve">, June 13, 2025, jcaf021. </w:t>
      </w:r>
      <w:hyperlink r:id="rId11" w:history="1">
        <w:r w:rsidRPr="00C26BCD">
          <w:rPr>
            <w:rFonts w:ascii="Times New Roman" w:eastAsia="Times New Roman" w:hAnsi="Times New Roman" w:cs="Times New Roman"/>
            <w:color w:val="0000FF"/>
            <w:kern w:val="0"/>
            <w:u w:val="single"/>
            <w:lang w:val="en-US"/>
            <w14:ligatures w14:val="none"/>
          </w:rPr>
          <w:t>https://doi.org/10.1093/esr/jcaf021</w:t>
        </w:r>
      </w:hyperlink>
      <w:r w:rsidRPr="00C26BCD">
        <w:rPr>
          <w:rFonts w:ascii="Times New Roman" w:eastAsia="Times New Roman" w:hAnsi="Times New Roman" w:cs="Times New Roman"/>
          <w:kern w:val="0"/>
          <w:lang w:val="en-US"/>
          <w14:ligatures w14:val="none"/>
        </w:rPr>
        <w:t>.</w:t>
      </w:r>
    </w:p>
    <w:p w14:paraId="052755AC" w14:textId="77777777" w:rsidR="00C26BCD" w:rsidRPr="00C26BCD" w:rsidRDefault="00C26BCD" w:rsidP="00C26BCD">
      <w:pPr>
        <w:spacing w:after="0" w:line="240" w:lineRule="auto"/>
        <w:ind w:hanging="480"/>
        <w:rPr>
          <w:rFonts w:ascii="Times New Roman" w:eastAsia="Times New Roman" w:hAnsi="Times New Roman" w:cs="Times New Roman"/>
          <w:kern w:val="0"/>
          <w:lang w:val="en-US"/>
          <w14:ligatures w14:val="none"/>
        </w:rPr>
      </w:pPr>
      <w:proofErr w:type="spellStart"/>
      <w:r w:rsidRPr="00C26BCD">
        <w:rPr>
          <w:rFonts w:ascii="Times New Roman" w:eastAsia="Times New Roman" w:hAnsi="Times New Roman" w:cs="Times New Roman"/>
          <w:kern w:val="0"/>
          <w:lang w:val="en-US"/>
          <w14:ligatures w14:val="none"/>
        </w:rPr>
        <w:t>Oshri</w:t>
      </w:r>
      <w:proofErr w:type="spellEnd"/>
      <w:r w:rsidRPr="00C26BCD">
        <w:rPr>
          <w:rFonts w:ascii="Times New Roman" w:eastAsia="Times New Roman" w:hAnsi="Times New Roman" w:cs="Times New Roman"/>
          <w:kern w:val="0"/>
          <w:lang w:val="en-US"/>
          <w14:ligatures w14:val="none"/>
        </w:rPr>
        <w:t xml:space="preserve">, Odelia, Liran Harsgor, Reut Itzkovitch-Malka, and Or </w:t>
      </w:r>
      <w:proofErr w:type="spellStart"/>
      <w:r w:rsidRPr="00C26BCD">
        <w:rPr>
          <w:rFonts w:ascii="Times New Roman" w:eastAsia="Times New Roman" w:hAnsi="Times New Roman" w:cs="Times New Roman"/>
          <w:kern w:val="0"/>
          <w:lang w:val="en-US"/>
          <w14:ligatures w14:val="none"/>
        </w:rPr>
        <w:t>Tuttnauer</w:t>
      </w:r>
      <w:proofErr w:type="spellEnd"/>
      <w:r w:rsidRPr="00C26BCD">
        <w:rPr>
          <w:rFonts w:ascii="Times New Roman" w:eastAsia="Times New Roman" w:hAnsi="Times New Roman" w:cs="Times New Roman"/>
          <w:kern w:val="0"/>
          <w:lang w:val="en-US"/>
          <w14:ligatures w14:val="none"/>
        </w:rPr>
        <w:t xml:space="preserve">. “Risk Aversion and the Gender Gap in the Vote for Populist Radical Right Parties.” </w:t>
      </w:r>
      <w:r w:rsidRPr="00C26BCD">
        <w:rPr>
          <w:rFonts w:ascii="Times New Roman" w:eastAsia="Times New Roman" w:hAnsi="Times New Roman" w:cs="Times New Roman"/>
          <w:i/>
          <w:iCs/>
          <w:kern w:val="0"/>
          <w:lang w:val="en-US"/>
          <w14:ligatures w14:val="none"/>
        </w:rPr>
        <w:t>American Journal of Political Science</w:t>
      </w:r>
      <w:r w:rsidRPr="00C26BCD">
        <w:rPr>
          <w:rFonts w:ascii="Times New Roman" w:eastAsia="Times New Roman" w:hAnsi="Times New Roman" w:cs="Times New Roman"/>
          <w:kern w:val="0"/>
          <w:lang w:val="en-US"/>
          <w14:ligatures w14:val="none"/>
        </w:rPr>
        <w:t xml:space="preserve"> 67, no. 3 (2023): 701–17. </w:t>
      </w:r>
      <w:hyperlink r:id="rId12" w:history="1">
        <w:r w:rsidRPr="00C26BCD">
          <w:rPr>
            <w:rFonts w:ascii="Times New Roman" w:eastAsia="Times New Roman" w:hAnsi="Times New Roman" w:cs="Times New Roman"/>
            <w:color w:val="0000FF"/>
            <w:kern w:val="0"/>
            <w:u w:val="single"/>
            <w:lang w:val="en-US"/>
            <w14:ligatures w14:val="none"/>
          </w:rPr>
          <w:t>https://doi.org/10.1111/ajps.12696</w:t>
        </w:r>
      </w:hyperlink>
      <w:r w:rsidRPr="00C26BCD">
        <w:rPr>
          <w:rFonts w:ascii="Times New Roman" w:eastAsia="Times New Roman" w:hAnsi="Times New Roman" w:cs="Times New Roman"/>
          <w:kern w:val="0"/>
          <w:lang w:val="en-US"/>
          <w14:ligatures w14:val="none"/>
        </w:rPr>
        <w:t>.</w:t>
      </w:r>
    </w:p>
    <w:p w14:paraId="510E5185" w14:textId="77777777" w:rsidR="00C26BCD" w:rsidRPr="00C26BCD" w:rsidRDefault="00C26BCD" w:rsidP="00C26BCD">
      <w:pPr>
        <w:spacing w:after="0" w:line="240" w:lineRule="auto"/>
        <w:ind w:hanging="480"/>
        <w:rPr>
          <w:rFonts w:ascii="Times New Roman" w:eastAsia="Times New Roman" w:hAnsi="Times New Roman" w:cs="Times New Roman"/>
          <w:kern w:val="0"/>
          <w:lang w:val="en-US"/>
          <w14:ligatures w14:val="none"/>
        </w:rPr>
      </w:pPr>
      <w:r w:rsidRPr="00C26BCD">
        <w:rPr>
          <w:rFonts w:ascii="Times New Roman" w:eastAsia="Times New Roman" w:hAnsi="Times New Roman" w:cs="Times New Roman"/>
          <w:kern w:val="0"/>
          <w:lang w:val="en-US"/>
          <w14:ligatures w14:val="none"/>
        </w:rPr>
        <w:t xml:space="preserve">Robinson, Amanda Lea, and Jessica Gottlieb. “How to Close the Gender Gap in Political Participation: Lessons from Matrilineal Societies in Africa.” </w:t>
      </w:r>
      <w:r w:rsidRPr="00C26BCD">
        <w:rPr>
          <w:rFonts w:ascii="Times New Roman" w:eastAsia="Times New Roman" w:hAnsi="Times New Roman" w:cs="Times New Roman"/>
          <w:i/>
          <w:iCs/>
          <w:kern w:val="0"/>
          <w:lang w:val="en-US"/>
          <w14:ligatures w14:val="none"/>
        </w:rPr>
        <w:t>British Journal of Political Science</w:t>
      </w:r>
      <w:r w:rsidRPr="00C26BCD">
        <w:rPr>
          <w:rFonts w:ascii="Times New Roman" w:eastAsia="Times New Roman" w:hAnsi="Times New Roman" w:cs="Times New Roman"/>
          <w:kern w:val="0"/>
          <w:lang w:val="en-US"/>
          <w14:ligatures w14:val="none"/>
        </w:rPr>
        <w:t xml:space="preserve"> 51, no. 1 (2021): 68–92. </w:t>
      </w:r>
      <w:hyperlink r:id="rId13" w:history="1">
        <w:r w:rsidRPr="00C26BCD">
          <w:rPr>
            <w:rFonts w:ascii="Times New Roman" w:eastAsia="Times New Roman" w:hAnsi="Times New Roman" w:cs="Times New Roman"/>
            <w:color w:val="0000FF"/>
            <w:kern w:val="0"/>
            <w:u w:val="single"/>
            <w:lang w:val="en-US"/>
            <w14:ligatures w14:val="none"/>
          </w:rPr>
          <w:t>https://doi.org/10.1017/S0007123418000650</w:t>
        </w:r>
      </w:hyperlink>
      <w:r w:rsidRPr="00C26BCD">
        <w:rPr>
          <w:rFonts w:ascii="Times New Roman" w:eastAsia="Times New Roman" w:hAnsi="Times New Roman" w:cs="Times New Roman"/>
          <w:kern w:val="0"/>
          <w:lang w:val="en-US"/>
          <w14:ligatures w14:val="none"/>
        </w:rPr>
        <w:t>.</w:t>
      </w:r>
    </w:p>
    <w:p w14:paraId="2D5A3156" w14:textId="77777777" w:rsidR="00C26BCD" w:rsidRPr="00C26BCD" w:rsidRDefault="00C26BCD" w:rsidP="00C26BCD">
      <w:pPr>
        <w:spacing w:after="0" w:line="240" w:lineRule="auto"/>
        <w:ind w:hanging="480"/>
        <w:rPr>
          <w:rFonts w:ascii="Times New Roman" w:eastAsia="Times New Roman" w:hAnsi="Times New Roman" w:cs="Times New Roman"/>
          <w:kern w:val="0"/>
          <w:lang w:val="en-US"/>
          <w14:ligatures w14:val="none"/>
        </w:rPr>
      </w:pPr>
      <w:proofErr w:type="spellStart"/>
      <w:r w:rsidRPr="00C26BCD">
        <w:rPr>
          <w:rFonts w:ascii="Times New Roman" w:eastAsia="Times New Roman" w:hAnsi="Times New Roman" w:cs="Times New Roman"/>
          <w:kern w:val="0"/>
          <w:lang w:val="en-US"/>
          <w14:ligatures w14:val="none"/>
        </w:rPr>
        <w:t>Shorrocks</w:t>
      </w:r>
      <w:proofErr w:type="spellEnd"/>
      <w:r w:rsidRPr="00C26BCD">
        <w:rPr>
          <w:rFonts w:ascii="Times New Roman" w:eastAsia="Times New Roman" w:hAnsi="Times New Roman" w:cs="Times New Roman"/>
          <w:kern w:val="0"/>
          <w:lang w:val="en-US"/>
          <w14:ligatures w14:val="none"/>
        </w:rPr>
        <w:t xml:space="preserve">, Rosalind. “Cohort Change in Political Gender Gaps in Europe and Canada: The Role of Modernization.” </w:t>
      </w:r>
      <w:r w:rsidRPr="00C26BCD">
        <w:rPr>
          <w:rFonts w:ascii="Times New Roman" w:eastAsia="Times New Roman" w:hAnsi="Times New Roman" w:cs="Times New Roman"/>
          <w:i/>
          <w:iCs/>
          <w:kern w:val="0"/>
          <w:lang w:val="en-US"/>
          <w14:ligatures w14:val="none"/>
        </w:rPr>
        <w:t>Politics &amp; Society</w:t>
      </w:r>
      <w:r w:rsidRPr="00C26BCD">
        <w:rPr>
          <w:rFonts w:ascii="Times New Roman" w:eastAsia="Times New Roman" w:hAnsi="Times New Roman" w:cs="Times New Roman"/>
          <w:kern w:val="0"/>
          <w:lang w:val="en-US"/>
          <w14:ligatures w14:val="none"/>
        </w:rPr>
        <w:t xml:space="preserve"> 46, no. 2 (2018): 135–75. </w:t>
      </w:r>
      <w:hyperlink r:id="rId14" w:history="1">
        <w:r w:rsidRPr="00C26BCD">
          <w:rPr>
            <w:rFonts w:ascii="Times New Roman" w:eastAsia="Times New Roman" w:hAnsi="Times New Roman" w:cs="Times New Roman"/>
            <w:color w:val="0000FF"/>
            <w:kern w:val="0"/>
            <w:u w:val="single"/>
            <w:lang w:val="en-US"/>
            <w14:ligatures w14:val="none"/>
          </w:rPr>
          <w:t>https://doi.org/10.1177/0032329217751688</w:t>
        </w:r>
      </w:hyperlink>
      <w:r w:rsidRPr="00C26BCD">
        <w:rPr>
          <w:rFonts w:ascii="Times New Roman" w:eastAsia="Times New Roman" w:hAnsi="Times New Roman" w:cs="Times New Roman"/>
          <w:kern w:val="0"/>
          <w:lang w:val="en-US"/>
          <w14:ligatures w14:val="none"/>
        </w:rPr>
        <w:t>.</w:t>
      </w:r>
    </w:p>
    <w:p w14:paraId="782377CC" w14:textId="77777777" w:rsidR="00C26BCD" w:rsidRPr="00C26BCD" w:rsidRDefault="00C26BCD" w:rsidP="00C26BCD">
      <w:pPr>
        <w:spacing w:after="0" w:line="240" w:lineRule="auto"/>
        <w:ind w:hanging="480"/>
        <w:rPr>
          <w:rFonts w:ascii="Times New Roman" w:eastAsia="Times New Roman" w:hAnsi="Times New Roman" w:cs="Times New Roman"/>
          <w:kern w:val="0"/>
          <w14:ligatures w14:val="none"/>
        </w:rPr>
      </w:pPr>
      <w:proofErr w:type="spellStart"/>
      <w:r w:rsidRPr="00C26BCD">
        <w:rPr>
          <w:rFonts w:ascii="Times New Roman" w:eastAsia="Times New Roman" w:hAnsi="Times New Roman" w:cs="Times New Roman"/>
          <w:kern w:val="0"/>
          <w:lang w:val="en-US"/>
          <w14:ligatures w14:val="none"/>
        </w:rPr>
        <w:t>Shorrocks</w:t>
      </w:r>
      <w:proofErr w:type="spellEnd"/>
      <w:r w:rsidRPr="00C26BCD">
        <w:rPr>
          <w:rFonts w:ascii="Times New Roman" w:eastAsia="Times New Roman" w:hAnsi="Times New Roman" w:cs="Times New Roman"/>
          <w:kern w:val="0"/>
          <w:lang w:val="en-US"/>
          <w14:ligatures w14:val="none"/>
        </w:rPr>
        <w:t xml:space="preserve">, Rosalind. </w:t>
      </w:r>
      <w:r w:rsidRPr="00C26BCD">
        <w:rPr>
          <w:rFonts w:ascii="Times New Roman" w:eastAsia="Times New Roman" w:hAnsi="Times New Roman" w:cs="Times New Roman"/>
          <w:i/>
          <w:iCs/>
          <w:kern w:val="0"/>
          <w:lang w:val="en-US"/>
          <w14:ligatures w14:val="none"/>
        </w:rPr>
        <w:t xml:space="preserve">Women, Men, and Elections: Policy Supply and Gendered Voting </w:t>
      </w:r>
      <w:proofErr w:type="spellStart"/>
      <w:r w:rsidRPr="00C26BCD">
        <w:rPr>
          <w:rFonts w:ascii="Times New Roman" w:eastAsia="Times New Roman" w:hAnsi="Times New Roman" w:cs="Times New Roman"/>
          <w:i/>
          <w:iCs/>
          <w:kern w:val="0"/>
          <w:lang w:val="en-US"/>
          <w14:ligatures w14:val="none"/>
        </w:rPr>
        <w:t>Behaviour</w:t>
      </w:r>
      <w:proofErr w:type="spellEnd"/>
      <w:r w:rsidRPr="00C26BCD">
        <w:rPr>
          <w:rFonts w:ascii="Times New Roman" w:eastAsia="Times New Roman" w:hAnsi="Times New Roman" w:cs="Times New Roman"/>
          <w:i/>
          <w:iCs/>
          <w:kern w:val="0"/>
          <w:lang w:val="en-US"/>
          <w14:ligatures w14:val="none"/>
        </w:rPr>
        <w:t xml:space="preserve"> in Western Democracies</w:t>
      </w:r>
      <w:r w:rsidRPr="00C26BCD">
        <w:rPr>
          <w:rFonts w:ascii="Times New Roman" w:eastAsia="Times New Roman" w:hAnsi="Times New Roman" w:cs="Times New Roman"/>
          <w:kern w:val="0"/>
          <w:lang w:val="en-US"/>
          <w14:ligatures w14:val="none"/>
        </w:rPr>
        <w:t xml:space="preserve">. </w:t>
      </w:r>
      <w:r w:rsidRPr="00C26BCD">
        <w:rPr>
          <w:rFonts w:ascii="Times New Roman" w:eastAsia="Times New Roman" w:hAnsi="Times New Roman" w:cs="Times New Roman"/>
          <w:kern w:val="0"/>
          <w14:ligatures w14:val="none"/>
        </w:rPr>
        <w:t xml:space="preserve">Routledge, 2021. </w:t>
      </w:r>
      <w:hyperlink r:id="rId15" w:history="1">
        <w:r w:rsidRPr="00C26BCD">
          <w:rPr>
            <w:rFonts w:ascii="Times New Roman" w:eastAsia="Times New Roman" w:hAnsi="Times New Roman" w:cs="Times New Roman"/>
            <w:color w:val="0000FF"/>
            <w:kern w:val="0"/>
            <w:u w:val="single"/>
            <w14:ligatures w14:val="none"/>
          </w:rPr>
          <w:t>https://doi.org/10.4324/9780429330926</w:t>
        </w:r>
      </w:hyperlink>
      <w:r w:rsidRPr="00C26BCD">
        <w:rPr>
          <w:rFonts w:ascii="Times New Roman" w:eastAsia="Times New Roman" w:hAnsi="Times New Roman" w:cs="Times New Roman"/>
          <w:kern w:val="0"/>
          <w14:ligatures w14:val="none"/>
        </w:rPr>
        <w:t>.</w:t>
      </w:r>
    </w:p>
    <w:p w14:paraId="54484124" w14:textId="77777777" w:rsidR="00C26BCD" w:rsidRPr="002518F1" w:rsidRDefault="00C26BCD" w:rsidP="002518F1">
      <w:pPr>
        <w:tabs>
          <w:tab w:val="left" w:pos="2442"/>
        </w:tabs>
        <w:rPr>
          <w:sz w:val="22"/>
          <w:szCs w:val="22"/>
          <w:lang w:val="en-US"/>
        </w:rPr>
      </w:pPr>
    </w:p>
    <w:p w14:paraId="309ED939" w14:textId="77777777" w:rsidR="002518F1" w:rsidRPr="002518F1" w:rsidRDefault="002518F1">
      <w:pPr>
        <w:rPr>
          <w:lang w:val="en-US"/>
        </w:rPr>
      </w:pPr>
    </w:p>
    <w:sectPr w:rsidR="002518F1" w:rsidRPr="002518F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D55"/>
    <w:multiLevelType w:val="hybridMultilevel"/>
    <w:tmpl w:val="2CE4A1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DA31ED7"/>
    <w:multiLevelType w:val="hybridMultilevel"/>
    <w:tmpl w:val="D464B416"/>
    <w:lvl w:ilvl="0" w:tplc="09D45C6A">
      <w:start w:val="1"/>
      <w:numFmt w:val="bullet"/>
      <w:lvlText w:val="-"/>
      <w:lvlJc w:val="left"/>
      <w:pPr>
        <w:ind w:left="720" w:hanging="360"/>
      </w:pPr>
      <w:rPr>
        <w:rFonts w:ascii="Aptos" w:eastAsiaTheme="minorEastAsia"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FCB0EAE"/>
    <w:multiLevelType w:val="hybridMultilevel"/>
    <w:tmpl w:val="FC0054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47102126">
    <w:abstractNumId w:val="2"/>
  </w:num>
  <w:num w:numId="2" w16cid:durableId="1130902441">
    <w:abstractNumId w:val="0"/>
  </w:num>
  <w:num w:numId="3" w16cid:durableId="1752310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AB2"/>
    <w:rsid w:val="00093302"/>
    <w:rsid w:val="00153E64"/>
    <w:rsid w:val="002518F1"/>
    <w:rsid w:val="003178A4"/>
    <w:rsid w:val="00321AB2"/>
    <w:rsid w:val="0032502D"/>
    <w:rsid w:val="00346851"/>
    <w:rsid w:val="008C0DF3"/>
    <w:rsid w:val="00A152A2"/>
    <w:rsid w:val="00A62950"/>
    <w:rsid w:val="00B94F2E"/>
    <w:rsid w:val="00C26BCD"/>
    <w:rsid w:val="00D81774"/>
    <w:rsid w:val="00DB69F1"/>
    <w:rsid w:val="00FF1860"/>
  </w:rsids>
  <m:mathPr>
    <m:mathFont m:val="Cambria Math"/>
    <m:brkBin m:val="before"/>
    <m:brkBinSub m:val="--"/>
    <m:smallFrac m:val="0"/>
    <m:dispDef/>
    <m:lMargin m:val="0"/>
    <m:rMargin m:val="0"/>
    <m:defJc m:val="centerGroup"/>
    <m:wrapIndent m:val="1440"/>
    <m:intLim m:val="subSup"/>
    <m:naryLim m:val="undOvr"/>
  </m:mathPr>
  <w:themeFontLang w:val="es-419"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82931E"/>
  <w15:chartTrackingRefBased/>
  <w15:docId w15:val="{2B577BEF-9B61-A149-8485-B6F8C802E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1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1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1A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1A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1A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1A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1A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1A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1A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1A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1A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1A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1A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1A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1A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1A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1A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1AB2"/>
    <w:rPr>
      <w:rFonts w:eastAsiaTheme="majorEastAsia" w:cstheme="majorBidi"/>
      <w:color w:val="272727" w:themeColor="text1" w:themeTint="D8"/>
    </w:rPr>
  </w:style>
  <w:style w:type="paragraph" w:styleId="Ttulo">
    <w:name w:val="Title"/>
    <w:basedOn w:val="Normal"/>
    <w:next w:val="Normal"/>
    <w:link w:val="TtuloCar"/>
    <w:uiPriority w:val="10"/>
    <w:qFormat/>
    <w:rsid w:val="00321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1A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1A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1A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1AB2"/>
    <w:pPr>
      <w:spacing w:before="160"/>
      <w:jc w:val="center"/>
    </w:pPr>
    <w:rPr>
      <w:i/>
      <w:iCs/>
      <w:color w:val="404040" w:themeColor="text1" w:themeTint="BF"/>
    </w:rPr>
  </w:style>
  <w:style w:type="character" w:customStyle="1" w:styleId="CitaCar">
    <w:name w:val="Cita Car"/>
    <w:basedOn w:val="Fuentedeprrafopredeter"/>
    <w:link w:val="Cita"/>
    <w:uiPriority w:val="29"/>
    <w:rsid w:val="00321AB2"/>
    <w:rPr>
      <w:i/>
      <w:iCs/>
      <w:color w:val="404040" w:themeColor="text1" w:themeTint="BF"/>
    </w:rPr>
  </w:style>
  <w:style w:type="paragraph" w:styleId="Prrafodelista">
    <w:name w:val="List Paragraph"/>
    <w:basedOn w:val="Normal"/>
    <w:uiPriority w:val="34"/>
    <w:qFormat/>
    <w:rsid w:val="00321AB2"/>
    <w:pPr>
      <w:ind w:left="720"/>
      <w:contextualSpacing/>
    </w:pPr>
  </w:style>
  <w:style w:type="character" w:styleId="nfasisintenso">
    <w:name w:val="Intense Emphasis"/>
    <w:basedOn w:val="Fuentedeprrafopredeter"/>
    <w:uiPriority w:val="21"/>
    <w:qFormat/>
    <w:rsid w:val="00321AB2"/>
    <w:rPr>
      <w:i/>
      <w:iCs/>
      <w:color w:val="0F4761" w:themeColor="accent1" w:themeShade="BF"/>
    </w:rPr>
  </w:style>
  <w:style w:type="paragraph" w:styleId="Citadestacada">
    <w:name w:val="Intense Quote"/>
    <w:basedOn w:val="Normal"/>
    <w:next w:val="Normal"/>
    <w:link w:val="CitadestacadaCar"/>
    <w:uiPriority w:val="30"/>
    <w:qFormat/>
    <w:rsid w:val="00321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1AB2"/>
    <w:rPr>
      <w:i/>
      <w:iCs/>
      <w:color w:val="0F4761" w:themeColor="accent1" w:themeShade="BF"/>
    </w:rPr>
  </w:style>
  <w:style w:type="character" w:styleId="Referenciaintensa">
    <w:name w:val="Intense Reference"/>
    <w:basedOn w:val="Fuentedeprrafopredeter"/>
    <w:uiPriority w:val="32"/>
    <w:qFormat/>
    <w:rsid w:val="00321AB2"/>
    <w:rPr>
      <w:b/>
      <w:bCs/>
      <w:smallCaps/>
      <w:color w:val="0F4761" w:themeColor="accent1" w:themeShade="BF"/>
      <w:spacing w:val="5"/>
    </w:rPr>
  </w:style>
  <w:style w:type="paragraph" w:customStyle="1" w:styleId="p1">
    <w:name w:val="p1"/>
    <w:basedOn w:val="Normal"/>
    <w:rsid w:val="002518F1"/>
    <w:pPr>
      <w:spacing w:after="0" w:line="240" w:lineRule="auto"/>
    </w:pPr>
    <w:rPr>
      <w:rFonts w:ascii="Helvetica" w:eastAsia="Times New Roman" w:hAnsi="Helvetica" w:cs="Times New Roman"/>
      <w:color w:val="000000"/>
      <w:kern w:val="0"/>
      <w:sz w:val="17"/>
      <w:szCs w:val="17"/>
      <w14:ligatures w14:val="none"/>
    </w:rPr>
  </w:style>
  <w:style w:type="character" w:styleId="Hipervnculo">
    <w:name w:val="Hyperlink"/>
    <w:basedOn w:val="Fuentedeprrafopredeter"/>
    <w:uiPriority w:val="99"/>
    <w:semiHidden/>
    <w:unhideWhenUsed/>
    <w:rsid w:val="00C26B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7/S0007123418000285" TargetMode="External"/><Relationship Id="rId13" Type="http://schemas.openxmlformats.org/officeDocument/2006/relationships/hyperlink" Target="https://doi.org/10.1017/S0007123418000650" TargetMode="External"/><Relationship Id="rId3" Type="http://schemas.openxmlformats.org/officeDocument/2006/relationships/settings" Target="settings.xml"/><Relationship Id="rId7" Type="http://schemas.openxmlformats.org/officeDocument/2006/relationships/hyperlink" Target="https://doi.org/10.1177/0032329213519419" TargetMode="External"/><Relationship Id="rId12" Type="http://schemas.openxmlformats.org/officeDocument/2006/relationships/hyperlink" Target="https://doi.org/10.1111/ajps.1269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162/003355302760193922" TargetMode="External"/><Relationship Id="rId11" Type="http://schemas.openxmlformats.org/officeDocument/2006/relationships/hyperlink" Target="https://doi.org/10.1093/esr/jcaf021" TargetMode="External"/><Relationship Id="rId5" Type="http://schemas.openxmlformats.org/officeDocument/2006/relationships/hyperlink" Target="https://doi.org/10.1080/17457289.2021.1968412" TargetMode="External"/><Relationship Id="rId15" Type="http://schemas.openxmlformats.org/officeDocument/2006/relationships/hyperlink" Target="https://doi.org/10.4324/9780429330926" TargetMode="External"/><Relationship Id="rId10" Type="http://schemas.openxmlformats.org/officeDocument/2006/relationships/hyperlink" Target="https://doi.org/10.1017/S0007123415000745" TargetMode="External"/><Relationship Id="rId4" Type="http://schemas.openxmlformats.org/officeDocument/2006/relationships/webSettings" Target="webSettings.xml"/><Relationship Id="rId9" Type="http://schemas.openxmlformats.org/officeDocument/2006/relationships/hyperlink" Target="https://doi.org/10.1017/S0007123418000285" TargetMode="External"/><Relationship Id="rId14" Type="http://schemas.openxmlformats.org/officeDocument/2006/relationships/hyperlink" Target="https://doi.org/10.1177/003232921775168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2214</Words>
  <Characters>12179</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Goldberg</dc:creator>
  <cp:keywords/>
  <dc:description/>
  <cp:lastModifiedBy>Charlie Goldberg</cp:lastModifiedBy>
  <cp:revision>1</cp:revision>
  <dcterms:created xsi:type="dcterms:W3CDTF">2025-11-06T12:41:00Z</dcterms:created>
  <dcterms:modified xsi:type="dcterms:W3CDTF">2025-11-06T12:41:00Z</dcterms:modified>
</cp:coreProperties>
</file>