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7621" w14:textId="5302BD67" w:rsidR="001A214D" w:rsidRDefault="00F30FDB">
      <w:pPr>
        <w:rPr>
          <w:lang w:val="en-US"/>
        </w:rPr>
      </w:pPr>
      <w:r>
        <w:rPr>
          <w:lang w:val="en-US"/>
        </w:rPr>
        <w:t>CHARLIE GOLDBERG NATIONALISM</w:t>
      </w:r>
    </w:p>
    <w:p w14:paraId="0DB2A713" w14:textId="77777777" w:rsidR="00150734" w:rsidRPr="0017428A" w:rsidRDefault="00150734" w:rsidP="00150734">
      <w:pPr>
        <w:pStyle w:val="p1"/>
        <w:rPr>
          <w:lang w:val="en-US"/>
        </w:rPr>
      </w:pPr>
      <w:r w:rsidRPr="00150734">
        <w:rPr>
          <w:lang w:val="en-US"/>
        </w:rPr>
        <w:t xml:space="preserve">How are nafional idenfifies developed and maintained? </w:t>
      </w:r>
      <w:r w:rsidRPr="0017428A">
        <w:rPr>
          <w:lang w:val="en-US"/>
        </w:rPr>
        <w:t>(PPE 2019)</w:t>
      </w:r>
    </w:p>
    <w:p w14:paraId="5E83E160" w14:textId="77777777" w:rsidR="00150734" w:rsidRDefault="00150734">
      <w:pPr>
        <w:rPr>
          <w:lang w:val="en-US"/>
        </w:rPr>
      </w:pPr>
    </w:p>
    <w:p w14:paraId="5738CF70" w14:textId="01977C3E" w:rsidR="000673C0" w:rsidRDefault="00150734">
      <w:pPr>
        <w:rPr>
          <w:lang w:val="en-US"/>
        </w:rPr>
      </w:pPr>
      <w:r>
        <w:rPr>
          <w:lang w:val="en-US"/>
        </w:rPr>
        <w:t>National identities, and nationalisms, are so diverse in forms and causes that they are better understood as family resemblance</w:t>
      </w:r>
      <w:r w:rsidR="00EB01E8">
        <w:rPr>
          <w:lang w:val="en-US"/>
        </w:rPr>
        <w:t>s rather than as a clearly bounded concept. Historical sociology and political science alike have found that nationalism’s primary cause, and the reasons it has been maintained, have varied throughout history. Prior to the industrial revolution, early nationalisms were connected to state-consolidation processes like those outlined by Tilley in England and France. National identities can be observed emerging around the world – but particularly in the Americas and in Europe – around the industrial revolution not because of the consolidation of national labor markets but because of the rise of national public spheres. Moving into the 20</w:t>
      </w:r>
      <w:r w:rsidR="00EB01E8" w:rsidRPr="00EB01E8">
        <w:rPr>
          <w:vertAlign w:val="superscript"/>
          <w:lang w:val="en-US"/>
        </w:rPr>
        <w:t>th</w:t>
      </w:r>
      <w:r w:rsidR="00EB01E8">
        <w:rPr>
          <w:lang w:val="en-US"/>
        </w:rPr>
        <w:t xml:space="preserve"> century, the continued global hegemony of nation-states combined with decolonization inspired colonial elites to foster their own national identities, even under conditions which looked little like nationalism’s birthplace in Europe.</w:t>
      </w:r>
      <w:r w:rsidR="003D60EA">
        <w:rPr>
          <w:lang w:val="en-US"/>
        </w:rPr>
        <w:t xml:space="preserve"> </w:t>
      </w:r>
    </w:p>
    <w:p w14:paraId="2AE7300B" w14:textId="78AF3C63" w:rsidR="00EF3D8B" w:rsidRDefault="00EF3D8B" w:rsidP="00EF3D8B">
      <w:pPr>
        <w:rPr>
          <w:lang w:val="en-US"/>
        </w:rPr>
      </w:pPr>
      <w:r>
        <w:rPr>
          <w:lang w:val="en-US"/>
        </w:rPr>
        <w:t xml:space="preserve">National identities have had various meanings over time, which makes a simple definition hard to pin down. People who hold national identities believe themselves to be a part of a nation. Mylonas and Tudor (2023) define nationalism – the belief in nations, and identification with one’s own nation, as an awareness of an imagined community combined with a degree of collective action that might allow that imagined community to attain full sovereignty over a particular territory for this community. The trouble is that the content of national identities varies hugely over time and between countries, far more than any simplistic dichotomy between civic and ethnic nationalism. Nationalisms can be religiously rooted, like in Iran; they can be tied specifically to a race, like in Nazi Germany; or they can be a loose assortment of beliefs, unconnected to ethnicity, like in America’s civic nationalism. One struggles in vain to find a core to any of these beliefs. </w:t>
      </w:r>
    </w:p>
    <w:p w14:paraId="6B24F2AC" w14:textId="119E2E30" w:rsidR="00400047" w:rsidRDefault="00EF3D8B" w:rsidP="00EF3D8B">
      <w:pPr>
        <w:rPr>
          <w:lang w:val="en-US"/>
        </w:rPr>
      </w:pPr>
      <w:r>
        <w:rPr>
          <w:lang w:val="en-US"/>
        </w:rPr>
        <w:t xml:space="preserve">These national identities are developed overtime both from below and from above. </w:t>
      </w:r>
      <w:r w:rsidR="00400047">
        <w:rPr>
          <w:lang w:val="en-US"/>
        </w:rPr>
        <w:t>The historical literature is replete with examples of “popular proto</w:t>
      </w:r>
      <w:r w:rsidR="00DC12B2">
        <w:rPr>
          <w:lang w:val="en-US"/>
        </w:rPr>
        <w:t>-</w:t>
      </w:r>
      <w:r w:rsidR="00400047">
        <w:rPr>
          <w:lang w:val="en-US"/>
        </w:rPr>
        <w:t xml:space="preserve">nationalism”, in Hobsbawm’s phrasing. (Hobsbawm 2012) From out of the mist of pre-modernity came a wide set of materials that people used to construct their identities, the materials of which could be used to construct identities that might be called proto-nationalist; on the whole they were not linked to political projects and were highly fuzzy. But these identities often became consolidated into national identities later. Hobsbawm uses the example of Germans who, by virtue of their own language, did think of themselves as Germans. Welsh speakers, long before any political unity, might have thought of themselves as Welsh. This was not nationalism; there was never a political aspiration or imagined community of Germans across the world. But language production, and an identity as a “German” if only in linguistic identity provided the common material for future emergence of nationalism; and these were processes which could only </w:t>
      </w:r>
      <w:r w:rsidR="00C86486">
        <w:rPr>
          <w:lang w:val="en-US"/>
        </w:rPr>
        <w:t>be shaped distantly by elites.</w:t>
      </w:r>
    </w:p>
    <w:p w14:paraId="1BB48C2E" w14:textId="141D2E34" w:rsidR="00C86486" w:rsidRDefault="00C86486" w:rsidP="00EF3D8B">
      <w:pPr>
        <w:rPr>
          <w:lang w:val="en-US"/>
        </w:rPr>
      </w:pPr>
      <w:r>
        <w:rPr>
          <w:lang w:val="en-US"/>
        </w:rPr>
        <w:t xml:space="preserve">Elite-led, intentional development of national identity has always been and remains quite important. Colonial elites and literati – particularly creole elites – formed the core of burgeoning national identities in Latin American colonies. The newspapers, magazines, and novels they edited and wrote promoted national identities, not just through standardization of languages or the creation of national public spheres, but through explicit modeling of national heroes or unified visions of the nation. </w:t>
      </w:r>
      <w:r w:rsidR="00DC12B2">
        <w:rPr>
          <w:lang w:val="en-US"/>
        </w:rPr>
        <w:t>(Anderson 1991, Mylonas and Studor 2023)</w:t>
      </w:r>
    </w:p>
    <w:p w14:paraId="2725297F" w14:textId="61C86004" w:rsidR="007D358F" w:rsidRDefault="00C86486" w:rsidP="00EF3D8B">
      <w:pPr>
        <w:rPr>
          <w:lang w:val="en-US"/>
        </w:rPr>
      </w:pPr>
      <w:r>
        <w:rPr>
          <w:lang w:val="en-US"/>
        </w:rPr>
        <w:t>Given the understanding that national identities have more of a family resemblance to each other then a single core attribute or identity</w:t>
      </w:r>
      <w:r w:rsidR="00540B4F">
        <w:rPr>
          <w:lang w:val="en-US"/>
        </w:rPr>
        <w:t xml:space="preserve">, we can also understand the mechanisms that formed and sustained nationalism to have been different throughout history. </w:t>
      </w:r>
      <w:r w:rsidR="000D3A86">
        <w:rPr>
          <w:lang w:val="en-US"/>
        </w:rPr>
        <w:t>Coherent national identities tied to the desire to create or otherwise maintain a national state emerge most clearly out of the furnace of the early modern period. This argument is proximate to T</w:t>
      </w:r>
      <w:r w:rsidR="007D358F">
        <w:rPr>
          <w:lang w:val="en-US"/>
        </w:rPr>
        <w:t>i</w:t>
      </w:r>
      <w:r w:rsidR="000D3A86">
        <w:rPr>
          <w:lang w:val="en-US"/>
        </w:rPr>
        <w:t>lly</w:t>
      </w:r>
      <w:r w:rsidR="007D358F">
        <w:rPr>
          <w:lang w:val="en-US"/>
        </w:rPr>
        <w:t xml:space="preserve">’s case as laid out in </w:t>
      </w:r>
      <w:r w:rsidR="007D358F">
        <w:rPr>
          <w:i/>
          <w:iCs/>
          <w:lang w:val="en-US"/>
        </w:rPr>
        <w:t>Coercion, Capital, and European States</w:t>
      </w:r>
      <w:r w:rsidR="007D358F">
        <w:rPr>
          <w:lang w:val="en-US"/>
        </w:rPr>
        <w:t>; life homogenized within states and heterogenized between them; the Darwinian pressure of war created incentives for the standardization and professionalization of states; war was a homogenizing experience. Direct rule grew out of war, and direct rules effect was a more homogenous life and, as a result, national identity. It’s difficult to test for this with quantitative data; there is obviously no opinion polling available from the 17</w:t>
      </w:r>
      <w:r w:rsidR="007D358F" w:rsidRPr="007D358F">
        <w:rPr>
          <w:vertAlign w:val="superscript"/>
          <w:lang w:val="en-US"/>
        </w:rPr>
        <w:t>th</w:t>
      </w:r>
      <w:r w:rsidR="007D358F">
        <w:rPr>
          <w:lang w:val="en-US"/>
        </w:rPr>
        <w:t xml:space="preserve"> century. We’re thus forced to turn to the breadth of evidence collected by historical sociologists like Tilley.</w:t>
      </w:r>
    </w:p>
    <w:p w14:paraId="0A1FF5C4" w14:textId="3CA682C7" w:rsidR="007D358F" w:rsidRDefault="007D358F" w:rsidP="00EF3D8B">
      <w:pPr>
        <w:rPr>
          <w:lang w:val="en-US"/>
        </w:rPr>
      </w:pPr>
      <w:r>
        <w:rPr>
          <w:lang w:val="en-US"/>
        </w:rPr>
        <w:t>The mechanism by which national identities cohered in the 19</w:t>
      </w:r>
      <w:r w:rsidRPr="007D358F">
        <w:rPr>
          <w:vertAlign w:val="superscript"/>
          <w:lang w:val="en-US"/>
        </w:rPr>
        <w:t>th</w:t>
      </w:r>
      <w:r>
        <w:rPr>
          <w:lang w:val="en-US"/>
        </w:rPr>
        <w:t xml:space="preserve"> century was connected to the changes pushed on by war in the 18th century; the changing role fo the state played an important factor. But what is notable about the emergence of national identity across the world in the 19</w:t>
      </w:r>
      <w:r w:rsidRPr="007D358F">
        <w:rPr>
          <w:vertAlign w:val="superscript"/>
          <w:lang w:val="en-US"/>
        </w:rPr>
        <w:t>th</w:t>
      </w:r>
      <w:r>
        <w:rPr>
          <w:lang w:val="en-US"/>
        </w:rPr>
        <w:t xml:space="preserve"> century is that it emerged most explosively where huge, multi-ethnic empires dominated or where a state had never cohered. German nationalism would prove a highly explosive force in the heart of Europe; Central European nationalisms ended up ripping the Austro-Hungarian Empire asunder, and American nationalisms came out of decaying transoceanic empires. And each of these areas – particularly Eastern/Central Europe and Latin America – were comparatively underdeveloped, which rules out Gellner’s (1983) theory linking nationalism to industrial modernity and the needs for a national education system to create a mobile labor force. But what did create nationalism in these areas was linked to technologies of modernity, including ones sped up by the industrial revolution. Printing collided with preexisting administrative divisions or vernacular language communities to create common senses of time and identity.</w:t>
      </w:r>
    </w:p>
    <w:p w14:paraId="0A8C2C9A" w14:textId="7491396C" w:rsidR="0061788B" w:rsidRPr="007D358F" w:rsidRDefault="0061788B" w:rsidP="00EF3D8B">
      <w:pPr>
        <w:rPr>
          <w:lang w:val="en-US"/>
        </w:rPr>
      </w:pPr>
      <w:r>
        <w:rPr>
          <w:lang w:val="en-US"/>
        </w:rPr>
        <w:t>20</w:t>
      </w:r>
      <w:r w:rsidRPr="0061788B">
        <w:rPr>
          <w:vertAlign w:val="superscript"/>
          <w:lang w:val="en-US"/>
        </w:rPr>
        <w:t>th</w:t>
      </w:r>
      <w:r>
        <w:rPr>
          <w:lang w:val="en-US"/>
        </w:rPr>
        <w:t xml:space="preserve"> century national identities came out of decolonization, and, especially in the multitude of African states that achieved decolonization. Many of these post-colonial nationalisms, born in states with extremely diverse populations, centered around symbols of more-or-less banal nationalisms; elites, who shared a common origin and social world in the institutions of colonialism, promoted national identities as a tool of political cohesion. These are the thinnest nationalisms of the modern world. There are major exceptions; some nationalisms were strengthened through intensive anti-colonial conflicts that cohered a </w:t>
      </w:r>
      <w:r w:rsidR="00104C61">
        <w:rPr>
          <w:lang w:val="en-US"/>
        </w:rPr>
        <w:t>more popular national identity, as in Algeria. Nationalism was in the 20</w:t>
      </w:r>
      <w:r w:rsidR="00104C61" w:rsidRPr="00104C61">
        <w:rPr>
          <w:vertAlign w:val="superscript"/>
          <w:lang w:val="en-US"/>
        </w:rPr>
        <w:t>th</w:t>
      </w:r>
      <w:r w:rsidR="00104C61">
        <w:rPr>
          <w:lang w:val="en-US"/>
        </w:rPr>
        <w:t xml:space="preserve"> century a largely imitative and diffusive process; the international community assumed that interaction would take place on the level of the nation-state, and so elites adopted and promoted national identities to allow themselves to take part in the national community, and because it was the dominant and hegemonic form of statehood. </w:t>
      </w:r>
      <w:r>
        <w:rPr>
          <w:lang w:val="en-US"/>
        </w:rPr>
        <w:t xml:space="preserve"> </w:t>
      </w:r>
    </w:p>
    <w:p w14:paraId="221F37B4" w14:textId="7FBEFC15" w:rsidR="0017428A" w:rsidRDefault="000E4A6C" w:rsidP="000673C0">
      <w:pPr>
        <w:rPr>
          <w:lang w:val="en-US"/>
        </w:rPr>
      </w:pPr>
      <w:r>
        <w:rPr>
          <w:lang w:val="en-US"/>
        </w:rPr>
        <w:t xml:space="preserve">Each of these mechanisms, with the possible exception of diffusion or imitation, is quite difficult to test for, at least at an international, long-run level. Wimmer and Feinstein (2010) does attempt to test for them, though they focus on the rise of nation-states rather </w:t>
      </w:r>
      <w:r w:rsidR="0017428A">
        <w:rPr>
          <w:lang w:val="en-US"/>
        </w:rPr>
        <w:t>than</w:t>
      </w:r>
      <w:r>
        <w:rPr>
          <w:lang w:val="en-US"/>
        </w:rPr>
        <w:t xml:space="preserve"> national identity itself. The data does not stretch before 1820, which excludes the first formations of national identity in Western Europe. The two affirm a historical institutionalist model, focusing on the ability for nationalist forces to overthrow or come to dominate the ruling elite; and these nationalist forces are born initially in imitation of the success of the first nation-states in Western Europe and North America. They find that years since a regions first national organization is founded, and number of nation-states created in the neighborhood or empire recently, is closely connected to the formation of nation-states. This maps onto the model of the 20</w:t>
      </w:r>
      <w:r w:rsidRPr="000E4A6C">
        <w:rPr>
          <w:vertAlign w:val="superscript"/>
          <w:lang w:val="en-US"/>
        </w:rPr>
        <w:t>th</w:t>
      </w:r>
      <w:r>
        <w:rPr>
          <w:lang w:val="en-US"/>
        </w:rPr>
        <w:t xml:space="preserve"> century constructed above, and given all cases examined are placed in the 19</w:t>
      </w:r>
      <w:r w:rsidRPr="000E4A6C">
        <w:rPr>
          <w:vertAlign w:val="superscript"/>
          <w:lang w:val="en-US"/>
        </w:rPr>
        <w:t>th</w:t>
      </w:r>
      <w:r>
        <w:rPr>
          <w:lang w:val="en-US"/>
        </w:rPr>
        <w:t xml:space="preserve"> and 20</w:t>
      </w:r>
      <w:r w:rsidRPr="000E4A6C">
        <w:rPr>
          <w:vertAlign w:val="superscript"/>
          <w:lang w:val="en-US"/>
        </w:rPr>
        <w:t>th</w:t>
      </w:r>
      <w:r>
        <w:rPr>
          <w:lang w:val="en-US"/>
        </w:rPr>
        <w:t xml:space="preserve"> century (with most nation-states forming in 20</w:t>
      </w:r>
      <w:r w:rsidRPr="000E4A6C">
        <w:rPr>
          <w:vertAlign w:val="superscript"/>
          <w:lang w:val="en-US"/>
        </w:rPr>
        <w:t>th</w:t>
      </w:r>
      <w:r>
        <w:rPr>
          <w:lang w:val="en-US"/>
        </w:rPr>
        <w:t xml:space="preserve"> c. decolonization), this would seem to make sense; nation-state formation would also be closely connected to imperial collapse, so we’d expect nation-state formatin to be correlated with the recent establishment of nation-states nearby in other colonies. The correlation for nation state formation in the neighborhood weakens before 1915, though it strengthens when checking for empire, which should explain nation-state formation in Eastern Europe and Latin America. </w:t>
      </w:r>
      <w:r w:rsidR="0017428A">
        <w:rPr>
          <w:lang w:val="en-US"/>
        </w:rPr>
        <w:t>The vast majority of case studies of national state formations can be attributed to historical-institutionalist causes because national identity and political changes came from top-down processes of elite-led national movements and decolonization.</w:t>
      </w:r>
    </w:p>
    <w:p w14:paraId="22A4DBFD" w14:textId="77777777" w:rsidR="0017428A" w:rsidRDefault="0017428A" w:rsidP="000673C0">
      <w:pPr>
        <w:rPr>
          <w:lang w:val="en-US"/>
        </w:rPr>
      </w:pPr>
      <w:r>
        <w:rPr>
          <w:lang w:val="en-US"/>
        </w:rPr>
        <w:t>Wimmer’s analysis struggles to capture the forces that drove nationalism in Latin America and Eastern Europe and those prior to 1820 because they were fundamentally different to 20</w:t>
      </w:r>
      <w:r w:rsidRPr="0017428A">
        <w:rPr>
          <w:vertAlign w:val="superscript"/>
          <w:lang w:val="en-US"/>
        </w:rPr>
        <w:t>th</w:t>
      </w:r>
      <w:r>
        <w:rPr>
          <w:lang w:val="en-US"/>
        </w:rPr>
        <w:t xml:space="preserve"> century post-colonial nationalisms. Latin American nationalism, for example, was driven not by mass literacy throughout the entire population – nationalism was experienced by much of the population in this period as an elite, creole project – but was driven by higher literacy rates among a professionalizing creole elite, and by the diffusion of printing presses that served these elites but failed to reach a largely illiterate indigenous population. Mass literacy could go hand-in-hand with nationalism; see the case of the United States, where a national project was born upon early and nearly-universal male literacy – but it was certainly not necessary. The elite nature of the national project in Latin America also meant that government’s role could be extremely limited outside of the seat of power; this is a possible explanation for why central government expenditure, which Wimmer and Feinstein use as a correlate for direct rule, is actually negatively correlated with nationalism as opposed to the expected result which Tilly might predict. The nationalisms Tilly discusses were phenomena of the 18</w:t>
      </w:r>
      <w:r w:rsidRPr="0017428A">
        <w:rPr>
          <w:vertAlign w:val="superscript"/>
          <w:lang w:val="en-US"/>
        </w:rPr>
        <w:t>th</w:t>
      </w:r>
      <w:r>
        <w:rPr>
          <w:lang w:val="en-US"/>
        </w:rPr>
        <w:t xml:space="preserve"> and early 19</w:t>
      </w:r>
      <w:r w:rsidRPr="0017428A">
        <w:rPr>
          <w:vertAlign w:val="superscript"/>
          <w:lang w:val="en-US"/>
        </w:rPr>
        <w:t>th</w:t>
      </w:r>
      <w:r>
        <w:rPr>
          <w:lang w:val="en-US"/>
        </w:rPr>
        <w:t xml:space="preserve"> century, and </w:t>
      </w:r>
      <w:r>
        <w:rPr>
          <w:i/>
          <w:iCs/>
          <w:lang w:val="en-US"/>
        </w:rPr>
        <w:t>did</w:t>
      </w:r>
      <w:r>
        <w:rPr>
          <w:lang w:val="en-US"/>
        </w:rPr>
        <w:t xml:space="preserve"> grow out of direct rule; but they are mostly excluded from the dataset. </w:t>
      </w:r>
    </w:p>
    <w:p w14:paraId="038A5558" w14:textId="77777777" w:rsidR="0017428A" w:rsidRDefault="0017428A" w:rsidP="000673C0">
      <w:pPr>
        <w:rPr>
          <w:lang w:val="en-US"/>
        </w:rPr>
      </w:pPr>
      <w:r>
        <w:rPr>
          <w:lang w:val="en-US"/>
        </w:rPr>
        <w:t>Wimmer and Feinstein’s institutionalist approach is quite helpful as a causal model of nationalisms and the resulting states that came out of colonialism and European multi-ethnic empires. But it is not quite so helpful to understand the development of national identities in the first place, and struggles (as they admit) to capture the exact causal mechanisms and possible structural explanations which might explain the causes of the development of national identity.</w:t>
      </w:r>
    </w:p>
    <w:p w14:paraId="3077A8EA" w14:textId="19F3B126" w:rsidR="000673C0" w:rsidRDefault="00465614" w:rsidP="000673C0">
      <w:pPr>
        <w:rPr>
          <w:lang w:val="en-US"/>
        </w:rPr>
      </w:pPr>
      <w:r>
        <w:rPr>
          <w:lang w:val="en-US"/>
        </w:rPr>
        <w:t xml:space="preserve">We should understand the mechanisms for the formation of national identity as having varied across region and time, but we should also not dismiss structural causes associated with state consolidation in the early modern period and with the combined development of global imperialism and national print cultures. Quantitative studies struggle to capture these dynamics, both because of the limitations in available data but also because of the difficulty in capturing causality. </w:t>
      </w:r>
    </w:p>
    <w:p w14:paraId="267B70AA" w14:textId="252AA9AF" w:rsidR="00DC12B2" w:rsidRDefault="001363CD" w:rsidP="000673C0">
      <w:pPr>
        <w:rPr>
          <w:lang w:val="en-US"/>
        </w:rPr>
      </w:pPr>
      <w:r>
        <w:rPr>
          <w:lang w:val="en-US"/>
        </w:rPr>
        <w:t>Works Cited:</w:t>
      </w:r>
    </w:p>
    <w:p w14:paraId="115C80E8" w14:textId="77777777" w:rsidR="001363CD" w:rsidRPr="001363CD" w:rsidRDefault="001363CD" w:rsidP="001363CD">
      <w:pPr>
        <w:spacing w:after="0" w:line="240" w:lineRule="auto"/>
        <w:ind w:hanging="480"/>
        <w:rPr>
          <w:rFonts w:ascii="Times New Roman" w:eastAsia="Times New Roman" w:hAnsi="Times New Roman" w:cs="Times New Roman"/>
          <w:kern w:val="0"/>
          <w:lang w:val="en-US"/>
          <w14:ligatures w14:val="none"/>
        </w:rPr>
      </w:pPr>
      <w:r w:rsidRPr="001363CD">
        <w:rPr>
          <w:rFonts w:ascii="Times New Roman" w:eastAsia="Times New Roman" w:hAnsi="Times New Roman" w:cs="Times New Roman"/>
          <w:kern w:val="0"/>
          <w:lang w:val="en-US"/>
          <w14:ligatures w14:val="none"/>
        </w:rPr>
        <w:t xml:space="preserve">Anderson, Benedict R. O’G. </w:t>
      </w:r>
      <w:r w:rsidRPr="001363CD">
        <w:rPr>
          <w:rFonts w:ascii="Times New Roman" w:eastAsia="Times New Roman" w:hAnsi="Times New Roman" w:cs="Times New Roman"/>
          <w:i/>
          <w:iCs/>
          <w:kern w:val="0"/>
          <w:lang w:val="en-US"/>
          <w14:ligatures w14:val="none"/>
        </w:rPr>
        <w:t>Imagined Communities</w:t>
      </w:r>
      <w:r w:rsidRPr="001363CD">
        <w:rPr>
          <w:rFonts w:ascii="Arial" w:eastAsia="Times New Roman" w:hAnsi="Arial" w:cs="Arial"/>
          <w:i/>
          <w:iCs/>
          <w:kern w:val="0"/>
          <w:lang w:val="en-US"/>
          <w14:ligatures w14:val="none"/>
        </w:rPr>
        <w:t> </w:t>
      </w:r>
      <w:r w:rsidRPr="001363CD">
        <w:rPr>
          <w:rFonts w:ascii="Times New Roman" w:eastAsia="Times New Roman" w:hAnsi="Times New Roman" w:cs="Times New Roman"/>
          <w:i/>
          <w:iCs/>
          <w:kern w:val="0"/>
          <w:lang w:val="en-US"/>
          <w14:ligatures w14:val="none"/>
        </w:rPr>
        <w:t>: Reflections on the Origin and Spread of Nationalism</w:t>
      </w:r>
      <w:r w:rsidRPr="001363CD">
        <w:rPr>
          <w:rFonts w:ascii="Times New Roman" w:eastAsia="Times New Roman" w:hAnsi="Times New Roman" w:cs="Times New Roman"/>
          <w:kern w:val="0"/>
          <w:lang w:val="en-US"/>
          <w14:ligatures w14:val="none"/>
        </w:rPr>
        <w:t>. Verso, 2016.</w:t>
      </w:r>
    </w:p>
    <w:p w14:paraId="24C9F908" w14:textId="77777777" w:rsidR="001363CD" w:rsidRPr="001363CD" w:rsidRDefault="001363CD" w:rsidP="001363CD">
      <w:pPr>
        <w:spacing w:after="0" w:line="240" w:lineRule="auto"/>
        <w:ind w:hanging="480"/>
        <w:rPr>
          <w:rFonts w:ascii="Times New Roman" w:eastAsia="Times New Roman" w:hAnsi="Times New Roman" w:cs="Times New Roman"/>
          <w:kern w:val="0"/>
          <w:lang w:val="en-US"/>
          <w14:ligatures w14:val="none"/>
        </w:rPr>
      </w:pPr>
      <w:r w:rsidRPr="001363CD">
        <w:rPr>
          <w:rFonts w:ascii="Times New Roman" w:eastAsia="Times New Roman" w:hAnsi="Times New Roman" w:cs="Times New Roman"/>
          <w:kern w:val="0"/>
          <w:lang w:val="en-US"/>
          <w14:ligatures w14:val="none"/>
        </w:rPr>
        <w:t xml:space="preserve">Mylonas, Harris, and Maya Jessica Tudor. </w:t>
      </w:r>
      <w:r w:rsidRPr="001363CD">
        <w:rPr>
          <w:rFonts w:ascii="Times New Roman" w:eastAsia="Times New Roman" w:hAnsi="Times New Roman" w:cs="Times New Roman"/>
          <w:i/>
          <w:iCs/>
          <w:kern w:val="0"/>
          <w:lang w:val="en-US"/>
          <w14:ligatures w14:val="none"/>
        </w:rPr>
        <w:t>Varieties of Nationalism : Communities, Narratives, Identities</w:t>
      </w:r>
      <w:r w:rsidRPr="001363CD">
        <w:rPr>
          <w:rFonts w:ascii="Times New Roman" w:eastAsia="Times New Roman" w:hAnsi="Times New Roman" w:cs="Times New Roman"/>
          <w:kern w:val="0"/>
          <w:lang w:val="en-US"/>
          <w14:ligatures w14:val="none"/>
        </w:rPr>
        <w:t>. Cambridge Elements. Elements in the Politics of Development. Cambridge University Press, 2023.</w:t>
      </w:r>
    </w:p>
    <w:p w14:paraId="73637CF2" w14:textId="77777777" w:rsidR="001363CD" w:rsidRPr="001363CD" w:rsidRDefault="001363CD" w:rsidP="001363CD">
      <w:pPr>
        <w:spacing w:after="0" w:line="240" w:lineRule="auto"/>
        <w:ind w:hanging="480"/>
        <w:rPr>
          <w:rFonts w:ascii="Times New Roman" w:eastAsia="Times New Roman" w:hAnsi="Times New Roman" w:cs="Times New Roman"/>
          <w:kern w:val="0"/>
          <w:lang w:val="en-US"/>
          <w14:ligatures w14:val="none"/>
        </w:rPr>
      </w:pPr>
      <w:r w:rsidRPr="001363CD">
        <w:rPr>
          <w:rFonts w:ascii="Times New Roman" w:eastAsia="Times New Roman" w:hAnsi="Times New Roman" w:cs="Times New Roman"/>
          <w:kern w:val="0"/>
          <w:lang w:val="en-US"/>
          <w14:ligatures w14:val="none"/>
        </w:rPr>
        <w:t xml:space="preserve">Solt, Frederick. “Diversionary Nationalism: Economic Inequality and the Formation of National Pride.” </w:t>
      </w:r>
      <w:r w:rsidRPr="001363CD">
        <w:rPr>
          <w:rFonts w:ascii="Times New Roman" w:eastAsia="Times New Roman" w:hAnsi="Times New Roman" w:cs="Times New Roman"/>
          <w:i/>
          <w:iCs/>
          <w:kern w:val="0"/>
          <w:lang w:val="en-US"/>
          <w14:ligatures w14:val="none"/>
        </w:rPr>
        <w:t>The Journal of Politics</w:t>
      </w:r>
      <w:r w:rsidRPr="001363CD">
        <w:rPr>
          <w:rFonts w:ascii="Times New Roman" w:eastAsia="Times New Roman" w:hAnsi="Times New Roman" w:cs="Times New Roman"/>
          <w:kern w:val="0"/>
          <w:lang w:val="en-US"/>
          <w14:ligatures w14:val="none"/>
        </w:rPr>
        <w:t xml:space="preserve"> 73, no. 3 (2011): 821–30.</w:t>
      </w:r>
    </w:p>
    <w:p w14:paraId="4ABD5656" w14:textId="77777777" w:rsidR="001363CD" w:rsidRPr="001363CD" w:rsidRDefault="001363CD" w:rsidP="001363CD">
      <w:pPr>
        <w:spacing w:after="0" w:line="240" w:lineRule="auto"/>
        <w:ind w:hanging="480"/>
        <w:rPr>
          <w:rFonts w:ascii="Times New Roman" w:eastAsia="Times New Roman" w:hAnsi="Times New Roman" w:cs="Times New Roman"/>
          <w:kern w:val="0"/>
          <w:lang w:val="en-US"/>
          <w14:ligatures w14:val="none"/>
        </w:rPr>
      </w:pPr>
      <w:r w:rsidRPr="001363CD">
        <w:rPr>
          <w:rFonts w:ascii="Times New Roman" w:eastAsia="Times New Roman" w:hAnsi="Times New Roman" w:cs="Times New Roman"/>
          <w:kern w:val="0"/>
          <w:lang w:val="en-US"/>
          <w14:ligatures w14:val="none"/>
        </w:rPr>
        <w:t xml:space="preserve">Tilly, Charles. </w:t>
      </w:r>
      <w:r w:rsidRPr="001363CD">
        <w:rPr>
          <w:rFonts w:ascii="Times New Roman" w:eastAsia="Times New Roman" w:hAnsi="Times New Roman" w:cs="Times New Roman"/>
          <w:i/>
          <w:iCs/>
          <w:kern w:val="0"/>
          <w:lang w:val="en-US"/>
          <w14:ligatures w14:val="none"/>
        </w:rPr>
        <w:t>Coercion, Capital, and European States, AD 990-1992</w:t>
      </w:r>
      <w:r w:rsidRPr="001363CD">
        <w:rPr>
          <w:rFonts w:ascii="Times New Roman" w:eastAsia="Times New Roman" w:hAnsi="Times New Roman" w:cs="Times New Roman"/>
          <w:kern w:val="0"/>
          <w:lang w:val="en-US"/>
          <w14:ligatures w14:val="none"/>
        </w:rPr>
        <w:t>. Vol. 29. Blackwell Oxford, 1992.</w:t>
      </w:r>
    </w:p>
    <w:p w14:paraId="5CA5F5D6" w14:textId="77777777" w:rsidR="001363CD" w:rsidRPr="001363CD" w:rsidRDefault="001363CD" w:rsidP="001363CD">
      <w:pPr>
        <w:spacing w:after="0" w:line="240" w:lineRule="auto"/>
        <w:ind w:hanging="480"/>
        <w:rPr>
          <w:rFonts w:ascii="Times New Roman" w:eastAsia="Times New Roman" w:hAnsi="Times New Roman" w:cs="Times New Roman"/>
          <w:kern w:val="0"/>
          <w14:ligatures w14:val="none"/>
        </w:rPr>
      </w:pPr>
      <w:r w:rsidRPr="001363CD">
        <w:rPr>
          <w:rFonts w:ascii="Times New Roman" w:eastAsia="Times New Roman" w:hAnsi="Times New Roman" w:cs="Times New Roman"/>
          <w:kern w:val="0"/>
          <w:lang w:val="en-US"/>
          <w14:ligatures w14:val="none"/>
        </w:rPr>
        <w:t xml:space="preserve">Wimmer, Andreas, and Yuval Feinstein. “The Rise of the Nation-State across the World, 1816 to 2001.” </w:t>
      </w:r>
      <w:r w:rsidRPr="001363CD">
        <w:rPr>
          <w:rFonts w:ascii="Times New Roman" w:eastAsia="Times New Roman" w:hAnsi="Times New Roman" w:cs="Times New Roman"/>
          <w:i/>
          <w:iCs/>
          <w:kern w:val="0"/>
          <w14:ligatures w14:val="none"/>
        </w:rPr>
        <w:t>American Sociological Review</w:t>
      </w:r>
      <w:r w:rsidRPr="001363CD">
        <w:rPr>
          <w:rFonts w:ascii="Times New Roman" w:eastAsia="Times New Roman" w:hAnsi="Times New Roman" w:cs="Times New Roman"/>
          <w:kern w:val="0"/>
          <w14:ligatures w14:val="none"/>
        </w:rPr>
        <w:t xml:space="preserve"> 75, no. 5 (2010): 764–90.</w:t>
      </w:r>
    </w:p>
    <w:p w14:paraId="0DB57C05" w14:textId="77777777" w:rsidR="00DC12B2" w:rsidRPr="000673C0" w:rsidRDefault="00DC12B2" w:rsidP="000673C0">
      <w:pPr>
        <w:rPr>
          <w:lang w:val="en-US"/>
        </w:rPr>
      </w:pPr>
    </w:p>
    <w:sectPr w:rsidR="00DC12B2" w:rsidRPr="000673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36C62"/>
    <w:multiLevelType w:val="hybridMultilevel"/>
    <w:tmpl w:val="BA4C8928"/>
    <w:lvl w:ilvl="0" w:tplc="80E680AC">
      <w:start w:val="1211"/>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125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DB"/>
    <w:rsid w:val="000673C0"/>
    <w:rsid w:val="000D3A86"/>
    <w:rsid w:val="000E4A6C"/>
    <w:rsid w:val="00104C61"/>
    <w:rsid w:val="001363CD"/>
    <w:rsid w:val="00150734"/>
    <w:rsid w:val="0017428A"/>
    <w:rsid w:val="001A214D"/>
    <w:rsid w:val="001E786F"/>
    <w:rsid w:val="001F081E"/>
    <w:rsid w:val="003D60EA"/>
    <w:rsid w:val="00400047"/>
    <w:rsid w:val="00465614"/>
    <w:rsid w:val="00494439"/>
    <w:rsid w:val="00540B4F"/>
    <w:rsid w:val="0061788B"/>
    <w:rsid w:val="007D358F"/>
    <w:rsid w:val="009F34CF"/>
    <w:rsid w:val="00A62950"/>
    <w:rsid w:val="00C86486"/>
    <w:rsid w:val="00D37D57"/>
    <w:rsid w:val="00D4084E"/>
    <w:rsid w:val="00DC12B2"/>
    <w:rsid w:val="00EB01E8"/>
    <w:rsid w:val="00EF3D8B"/>
    <w:rsid w:val="00F30FDB"/>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873CF6"/>
  <w15:chartTrackingRefBased/>
  <w15:docId w15:val="{5FAF90EE-0E92-4E4E-8E9F-11F06EE6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0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0F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0F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0F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0F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F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F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F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F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0F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0F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0F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0F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0F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F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F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FDB"/>
    <w:rPr>
      <w:rFonts w:eastAsiaTheme="majorEastAsia" w:cstheme="majorBidi"/>
      <w:color w:val="272727" w:themeColor="text1" w:themeTint="D8"/>
    </w:rPr>
  </w:style>
  <w:style w:type="paragraph" w:styleId="Ttulo">
    <w:name w:val="Title"/>
    <w:basedOn w:val="Normal"/>
    <w:next w:val="Normal"/>
    <w:link w:val="TtuloCar"/>
    <w:uiPriority w:val="10"/>
    <w:qFormat/>
    <w:rsid w:val="00F30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F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F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F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FDB"/>
    <w:pPr>
      <w:spacing w:before="160"/>
      <w:jc w:val="center"/>
    </w:pPr>
    <w:rPr>
      <w:i/>
      <w:iCs/>
      <w:color w:val="404040" w:themeColor="text1" w:themeTint="BF"/>
    </w:rPr>
  </w:style>
  <w:style w:type="character" w:customStyle="1" w:styleId="CitaCar">
    <w:name w:val="Cita Car"/>
    <w:basedOn w:val="Fuentedeprrafopredeter"/>
    <w:link w:val="Cita"/>
    <w:uiPriority w:val="29"/>
    <w:rsid w:val="00F30FDB"/>
    <w:rPr>
      <w:i/>
      <w:iCs/>
      <w:color w:val="404040" w:themeColor="text1" w:themeTint="BF"/>
    </w:rPr>
  </w:style>
  <w:style w:type="paragraph" w:styleId="Prrafodelista">
    <w:name w:val="List Paragraph"/>
    <w:basedOn w:val="Normal"/>
    <w:uiPriority w:val="34"/>
    <w:qFormat/>
    <w:rsid w:val="00F30FDB"/>
    <w:pPr>
      <w:ind w:left="720"/>
      <w:contextualSpacing/>
    </w:pPr>
  </w:style>
  <w:style w:type="character" w:styleId="nfasisintenso">
    <w:name w:val="Intense Emphasis"/>
    <w:basedOn w:val="Fuentedeprrafopredeter"/>
    <w:uiPriority w:val="21"/>
    <w:qFormat/>
    <w:rsid w:val="00F30FDB"/>
    <w:rPr>
      <w:i/>
      <w:iCs/>
      <w:color w:val="0F4761" w:themeColor="accent1" w:themeShade="BF"/>
    </w:rPr>
  </w:style>
  <w:style w:type="paragraph" w:styleId="Citadestacada">
    <w:name w:val="Intense Quote"/>
    <w:basedOn w:val="Normal"/>
    <w:next w:val="Normal"/>
    <w:link w:val="CitadestacadaCar"/>
    <w:uiPriority w:val="30"/>
    <w:qFormat/>
    <w:rsid w:val="00F3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0FDB"/>
    <w:rPr>
      <w:i/>
      <w:iCs/>
      <w:color w:val="0F4761" w:themeColor="accent1" w:themeShade="BF"/>
    </w:rPr>
  </w:style>
  <w:style w:type="character" w:styleId="Referenciaintensa">
    <w:name w:val="Intense Reference"/>
    <w:basedOn w:val="Fuentedeprrafopredeter"/>
    <w:uiPriority w:val="32"/>
    <w:qFormat/>
    <w:rsid w:val="00F30FDB"/>
    <w:rPr>
      <w:b/>
      <w:bCs/>
      <w:smallCaps/>
      <w:color w:val="0F4761" w:themeColor="accent1" w:themeShade="BF"/>
      <w:spacing w:val="5"/>
    </w:rPr>
  </w:style>
  <w:style w:type="paragraph" w:customStyle="1" w:styleId="p1">
    <w:name w:val="p1"/>
    <w:basedOn w:val="Normal"/>
    <w:rsid w:val="00F30FDB"/>
    <w:pPr>
      <w:spacing w:after="0" w:line="240" w:lineRule="auto"/>
    </w:pPr>
    <w:rPr>
      <w:rFonts w:ascii="Helvetica" w:eastAsia="Times New Roman" w:hAnsi="Helvetica"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1838</Words>
  <Characters>10109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Goldberg</dc:creator>
  <cp:keywords/>
  <dc:description/>
  <cp:lastModifiedBy>Charlie Goldberg</cp:lastModifiedBy>
  <cp:revision>3</cp:revision>
  <cp:lastPrinted>2025-12-01T15:05:00Z</cp:lastPrinted>
  <dcterms:created xsi:type="dcterms:W3CDTF">2025-12-01T15:11:00Z</dcterms:created>
  <dcterms:modified xsi:type="dcterms:W3CDTF">2025-12-01T15:31:00Z</dcterms:modified>
</cp:coreProperties>
</file>