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78BB" w14:textId="467A6247" w:rsidR="00B20159" w:rsidRPr="00B20159" w:rsidRDefault="00B20159" w:rsidP="00B20159">
      <w:pPr>
        <w:pStyle w:val="p1"/>
        <w:rPr>
          <w:lang w:val="en-US"/>
        </w:rPr>
      </w:pPr>
      <w:r w:rsidRPr="00B20159">
        <w:rPr>
          <w:lang w:val="en-US"/>
        </w:rPr>
        <w:t xml:space="preserve">Discuss the </w:t>
      </w:r>
      <w:r>
        <w:rPr>
          <w:lang w:val="en-US"/>
        </w:rPr>
        <w:t>relative</w:t>
      </w:r>
      <w:r w:rsidRPr="00B20159">
        <w:rPr>
          <w:lang w:val="en-US"/>
        </w:rPr>
        <w:t xml:space="preserve"> merits of the various methodological approaches to </w:t>
      </w:r>
      <w:r>
        <w:rPr>
          <w:lang w:val="en-US"/>
        </w:rPr>
        <w:t>identifying</w:t>
      </w:r>
      <w:r w:rsidRPr="00B20159">
        <w:rPr>
          <w:lang w:val="en-US"/>
        </w:rPr>
        <w:t xml:space="preserve"> the exercise of</w:t>
      </w:r>
    </w:p>
    <w:p w14:paraId="78F065DD" w14:textId="1D470E2D" w:rsidR="00B20159" w:rsidRPr="008B3500" w:rsidRDefault="00B20159" w:rsidP="00B20159">
      <w:pPr>
        <w:pStyle w:val="p1"/>
        <w:tabs>
          <w:tab w:val="left" w:pos="5962"/>
        </w:tabs>
        <w:rPr>
          <w:lang w:val="en-US"/>
        </w:rPr>
      </w:pPr>
      <w:proofErr w:type="spellStart"/>
      <w:r w:rsidRPr="008B3500">
        <w:rPr>
          <w:lang w:val="en-US"/>
        </w:rPr>
        <w:t>polifical</w:t>
      </w:r>
      <w:proofErr w:type="spellEnd"/>
      <w:r w:rsidRPr="008B3500">
        <w:rPr>
          <w:lang w:val="en-US"/>
        </w:rPr>
        <w:t xml:space="preserve"> power by elites?</w:t>
      </w:r>
      <w:r w:rsidRPr="008B3500">
        <w:rPr>
          <w:lang w:val="en-US"/>
        </w:rPr>
        <w:tab/>
      </w:r>
    </w:p>
    <w:p w14:paraId="40BBBE8A" w14:textId="77777777" w:rsidR="001A214D" w:rsidRPr="008B3500" w:rsidRDefault="001A214D">
      <w:pPr>
        <w:rPr>
          <w:lang w:val="en-US"/>
        </w:rPr>
      </w:pPr>
    </w:p>
    <w:p w14:paraId="423FDD32" w14:textId="77777777" w:rsidR="006C1FB4" w:rsidRDefault="006C1FB4">
      <w:pPr>
        <w:rPr>
          <w:lang w:val="en-US"/>
        </w:rPr>
      </w:pPr>
    </w:p>
    <w:p w14:paraId="1EFA4BD2" w14:textId="71ACBC0A" w:rsidR="0036359B" w:rsidRDefault="0036359B">
      <w:pPr>
        <w:rPr>
          <w:lang w:val="en-US"/>
        </w:rPr>
      </w:pPr>
    </w:p>
    <w:p w14:paraId="1D32B924" w14:textId="7C75E3E2" w:rsidR="008B4D03" w:rsidRDefault="0036359B">
      <w:pPr>
        <w:rPr>
          <w:lang w:val="en-US"/>
        </w:rPr>
      </w:pPr>
      <w:r>
        <w:rPr>
          <w:lang w:val="en-US"/>
        </w:rPr>
        <w:t xml:space="preserve">On April 2, 2025, the highly anticipated “Liberation Day tariffs”, Donald Trump declared a national emergency and announced a wide suite of tariffs on almost every country in the world; among them were 44% tariffs on China and 30% tariffs on the European Union. </w:t>
      </w:r>
      <w:r w:rsidR="006A7BD5">
        <w:rPr>
          <w:lang w:val="en-US"/>
        </w:rPr>
        <w:t>Upon announcement</w:t>
      </w:r>
      <w:r>
        <w:rPr>
          <w:lang w:val="en-US"/>
        </w:rPr>
        <w:t xml:space="preserve"> markets crashed around the globe</w:t>
      </w:r>
      <w:r w:rsidR="006A7BD5">
        <w:rPr>
          <w:lang w:val="en-US"/>
        </w:rPr>
        <w:t xml:space="preserve">; even stranger, barely a month later, stocks had recovered. </w:t>
      </w:r>
      <w:r w:rsidR="008B4D03">
        <w:rPr>
          <w:lang w:val="en-US"/>
        </w:rPr>
        <w:t>Trump’s tariff policy is puzzling for theories of elite power in democracy. The</w:t>
      </w:r>
      <w:r w:rsidR="006A7BD5">
        <w:rPr>
          <w:lang w:val="en-US"/>
        </w:rPr>
        <w:t xml:space="preserve"> tariffs and their subsequent half-implementation cannot be said to really benefit any group in the economic elite. </w:t>
      </w:r>
      <w:r w:rsidR="008B4D03">
        <w:rPr>
          <w:lang w:val="en-US"/>
        </w:rPr>
        <w:t>Elites are said to get their way in most policy-making decisions, especially those in the sphere of international economic policy</w:t>
      </w:r>
      <w:r w:rsidR="00856F08">
        <w:rPr>
          <w:lang w:val="en-US"/>
        </w:rPr>
        <w:t xml:space="preserve"> (Winters &amp; Page 2009)</w:t>
      </w:r>
      <w:r w:rsidR="008B4D03">
        <w:rPr>
          <w:lang w:val="en-US"/>
        </w:rPr>
        <w:t xml:space="preserve">. </w:t>
      </w:r>
      <w:r w:rsidR="006A7BD5">
        <w:rPr>
          <w:lang w:val="en-US"/>
        </w:rPr>
        <w:t xml:space="preserve">Existing methodological approaches to identifying elite interventions into political power include </w:t>
      </w:r>
      <w:r w:rsidR="00275770">
        <w:rPr>
          <w:lang w:val="en-US"/>
        </w:rPr>
        <w:t>(but are not limited to) macro-level observational tests (</w:t>
      </w:r>
      <w:proofErr w:type="spellStart"/>
      <w:r w:rsidR="00275770">
        <w:rPr>
          <w:lang w:val="en-US"/>
        </w:rPr>
        <w:t>Gilens</w:t>
      </w:r>
      <w:proofErr w:type="spellEnd"/>
      <w:r w:rsidR="00275770">
        <w:rPr>
          <w:lang w:val="en-US"/>
        </w:rPr>
        <w:t xml:space="preserve"> &amp; Page 2014), randomized field experiments, and other micro-level accounts of influence (Kalla &amp; </w:t>
      </w:r>
      <w:proofErr w:type="spellStart"/>
      <w:r w:rsidR="00275770">
        <w:rPr>
          <w:lang w:val="en-US"/>
        </w:rPr>
        <w:t>Broockman</w:t>
      </w:r>
      <w:proofErr w:type="spellEnd"/>
      <w:r w:rsidR="00275770">
        <w:rPr>
          <w:lang w:val="en-US"/>
        </w:rPr>
        <w:t xml:space="preserve"> 2016, Header &amp; Yackee 2015), and more sociological historical-institutionalist accounts of American political economy</w:t>
      </w:r>
      <w:r w:rsidR="00856F08">
        <w:rPr>
          <w:lang w:val="en-US"/>
        </w:rPr>
        <w:t>. These historical-institutionalist accounts</w:t>
      </w:r>
      <w:r w:rsidR="00275770">
        <w:rPr>
          <w:lang w:val="en-US"/>
        </w:rPr>
        <w:t xml:space="preserve"> are less comparative</w:t>
      </w:r>
      <w:r w:rsidR="00856F08">
        <w:rPr>
          <w:lang w:val="en-US"/>
        </w:rPr>
        <w:t xml:space="preserve"> and </w:t>
      </w:r>
      <w:r w:rsidR="00275770">
        <w:rPr>
          <w:lang w:val="en-US"/>
        </w:rPr>
        <w:t>less falsifiable, but</w:t>
      </w:r>
      <w:r w:rsidR="00856F08">
        <w:rPr>
          <w:lang w:val="en-US"/>
        </w:rPr>
        <w:t xml:space="preserve"> they</w:t>
      </w:r>
      <w:r w:rsidR="00275770">
        <w:rPr>
          <w:lang w:val="en-US"/>
        </w:rPr>
        <w:t xml:space="preserve"> offer convincing </w:t>
      </w:r>
      <w:r w:rsidR="00856F08">
        <w:rPr>
          <w:lang w:val="en-US"/>
        </w:rPr>
        <w:t xml:space="preserve">structural </w:t>
      </w:r>
      <w:r w:rsidR="00275770">
        <w:rPr>
          <w:lang w:val="en-US"/>
        </w:rPr>
        <w:t>mechanisms for explaining the results found in macro-level observational tests</w:t>
      </w:r>
      <w:r w:rsidR="00856F08">
        <w:rPr>
          <w:lang w:val="en-US"/>
        </w:rPr>
        <w:t xml:space="preserve"> (Hacker and Pierson 2010)</w:t>
      </w:r>
      <w:r w:rsidR="00275770">
        <w:rPr>
          <w:lang w:val="en-US"/>
        </w:rPr>
        <w:t>.</w:t>
      </w:r>
      <w:r w:rsidR="008B4D03">
        <w:rPr>
          <w:lang w:val="en-US"/>
        </w:rPr>
        <w:t xml:space="preserve"> </w:t>
      </w:r>
      <w:r w:rsidR="00856F08">
        <w:rPr>
          <w:lang w:val="en-US"/>
        </w:rPr>
        <w:t>Additionally, they may capture back-channel modes of influence where field t</w:t>
      </w:r>
      <w:r w:rsidR="003870F5">
        <w:rPr>
          <w:lang w:val="en-US"/>
        </w:rPr>
        <w:t>e</w:t>
      </w:r>
      <w:r w:rsidR="00856F08">
        <w:rPr>
          <w:lang w:val="en-US"/>
        </w:rPr>
        <w:t xml:space="preserve">sting cannot be carried out. </w:t>
      </w:r>
      <w:r w:rsidR="008B4D03">
        <w:rPr>
          <w:lang w:val="en-US"/>
        </w:rPr>
        <w:t xml:space="preserve">Macro-observational tests explain general patterns of influence; field experiments might verify some possible mechanisms of influence. </w:t>
      </w:r>
      <w:r w:rsidR="00856F08">
        <w:rPr>
          <w:lang w:val="en-US"/>
        </w:rPr>
        <w:t xml:space="preserve">In short, while large-N, non, experimental, observational studies and randomized field experiments may be fit to explain a decision-making under stable institutional conditions, they will struggle to capture institutional transformations over time that have allowed for concentrated decision-making power – and weakened business unity. </w:t>
      </w:r>
    </w:p>
    <w:p w14:paraId="5F37F076" w14:textId="77777777" w:rsidR="007A2E3D" w:rsidRDefault="007A2E3D">
      <w:pPr>
        <w:rPr>
          <w:lang w:val="en-US"/>
        </w:rPr>
      </w:pPr>
    </w:p>
    <w:p w14:paraId="393161FD" w14:textId="7EB7060D" w:rsidR="00996A90" w:rsidRDefault="00996A90">
      <w:pPr>
        <w:rPr>
          <w:lang w:val="en-US"/>
        </w:rPr>
      </w:pPr>
      <w:r>
        <w:rPr>
          <w:lang w:val="en-US"/>
        </w:rPr>
        <w:t xml:space="preserve">There is something of a scholarly consensus among social scientists across disciplines in the post-2008 era that economic elites – defined variously – have an outsized influence in policymaking in the United States. Particularly influential, and imitated, is the approach taken by </w:t>
      </w:r>
      <w:proofErr w:type="spellStart"/>
      <w:r>
        <w:rPr>
          <w:lang w:val="en-US"/>
        </w:rPr>
        <w:t>Gilens</w:t>
      </w:r>
      <w:proofErr w:type="spellEnd"/>
      <w:r>
        <w:rPr>
          <w:lang w:val="en-US"/>
        </w:rPr>
        <w:t xml:space="preserve">. </w:t>
      </w:r>
      <w:proofErr w:type="spellStart"/>
      <w:r>
        <w:rPr>
          <w:lang w:val="en-US"/>
        </w:rPr>
        <w:t>Gilens</w:t>
      </w:r>
      <w:proofErr w:type="spellEnd"/>
      <w:r>
        <w:rPr>
          <w:lang w:val="en-US"/>
        </w:rPr>
        <w:t xml:space="preserve"> and his team of research assistants painstakingly created a list of issues, compiled the preferences of average citizens, economic elites, and both public and business interest groups on these issues. They then checked</w:t>
      </w:r>
      <w:r w:rsidR="00BA20D8">
        <w:rPr>
          <w:lang w:val="en-US"/>
        </w:rPr>
        <w:t xml:space="preserve"> how often the preferences of each of these groups matched policy outcomes; </w:t>
      </w:r>
      <w:r w:rsidR="00856F08">
        <w:rPr>
          <w:lang w:val="en-US"/>
        </w:rPr>
        <w:t>finally,</w:t>
      </w:r>
      <w:r w:rsidR="00BA20D8">
        <w:rPr>
          <w:lang w:val="en-US"/>
        </w:rPr>
        <w:t xml:space="preserve"> they controlled to account for the extremely high alignment on most issues between average citizens and economic elites – once they did, they found that economic elites and interest group preferences are correlated strongly with policy outcomes. They also found a high status quo bias – that is, even when economic elites and interest groups support a change, it is unlikely to happen. </w:t>
      </w:r>
    </w:p>
    <w:p w14:paraId="47CC07BC" w14:textId="701A8515" w:rsidR="00BA20D8" w:rsidRDefault="00BA20D8">
      <w:pPr>
        <w:rPr>
          <w:lang w:val="en-US"/>
        </w:rPr>
      </w:pPr>
      <w:r>
        <w:rPr>
          <w:lang w:val="en-US"/>
        </w:rPr>
        <w:t xml:space="preserve">There are, of course, major limitations to </w:t>
      </w:r>
      <w:proofErr w:type="spellStart"/>
      <w:r>
        <w:rPr>
          <w:lang w:val="en-US"/>
        </w:rPr>
        <w:t>Gilens</w:t>
      </w:r>
      <w:proofErr w:type="spellEnd"/>
      <w:r>
        <w:rPr>
          <w:lang w:val="en-US"/>
        </w:rPr>
        <w:t xml:space="preserve"> and co.’s approach, limitations they readily acknowledge. As Gilens’ notes “we focus on the societal </w:t>
      </w:r>
      <w:r>
        <w:rPr>
          <w:i/>
          <w:iCs/>
          <w:lang w:val="en-US"/>
        </w:rPr>
        <w:t>sources</w:t>
      </w:r>
      <w:r>
        <w:rPr>
          <w:lang w:val="en-US"/>
        </w:rPr>
        <w:t xml:space="preserve"> of </w:t>
      </w:r>
      <w:r w:rsidR="003870F5">
        <w:rPr>
          <w:lang w:val="en-US"/>
        </w:rPr>
        <w:t>influences</w:t>
      </w:r>
      <w:r>
        <w:rPr>
          <w:lang w:val="en-US"/>
        </w:rPr>
        <w:t xml:space="preserve">… rather than on the </w:t>
      </w:r>
      <w:r>
        <w:rPr>
          <w:i/>
          <w:iCs/>
          <w:lang w:val="en-US"/>
        </w:rPr>
        <w:t xml:space="preserve">mechanisms </w:t>
      </w:r>
      <w:r>
        <w:rPr>
          <w:lang w:val="en-US"/>
        </w:rPr>
        <w:t xml:space="preserve">of influence.” Their approach allows for comparative analysis across democracies; Mathisen (2023) and Persson and Anders (2023) have applied </w:t>
      </w:r>
      <w:proofErr w:type="spellStart"/>
      <w:r>
        <w:rPr>
          <w:lang w:val="en-US"/>
        </w:rPr>
        <w:t>Gilens</w:t>
      </w:r>
      <w:proofErr w:type="spellEnd"/>
      <w:r>
        <w:rPr>
          <w:lang w:val="en-US"/>
        </w:rPr>
        <w:t xml:space="preserve"> approach to European democracies. And identifying the societal sources of influence can allow us to tweak theories about the mechanisms of influence; if, for example, we assume that economic elites exert policy influence through organized business interest groups, then after controlling for the influence of economic elites we should not expect to see any policy impact on the part of business interest groups. But the fact that there </w:t>
      </w:r>
      <w:r w:rsidR="00C156A8">
        <w:rPr>
          <w:lang w:val="en-US"/>
        </w:rPr>
        <w:t>is</w:t>
      </w:r>
      <w:r>
        <w:rPr>
          <w:lang w:val="en-US"/>
        </w:rPr>
        <w:t xml:space="preserve"> highly significant policy impacts indicated for both economic elites and business interest groups</w:t>
      </w:r>
      <w:r w:rsidR="00C156A8">
        <w:rPr>
          <w:lang w:val="en-US"/>
        </w:rPr>
        <w:t xml:space="preserve"> does indicate that while economic elites carry some of their influence through business interest groups, there must also be some separate mechanism by which they have policy impact – campaign donations by wealthy individuals, or institutional channels, as possible culprits. </w:t>
      </w:r>
    </w:p>
    <w:p w14:paraId="6BF9B4AF" w14:textId="405B2272" w:rsidR="000B516C" w:rsidRDefault="00C156A8">
      <w:pPr>
        <w:rPr>
          <w:lang w:val="en-US"/>
        </w:rPr>
      </w:pPr>
      <w:r>
        <w:rPr>
          <w:lang w:val="en-US"/>
        </w:rPr>
        <w:t xml:space="preserve">Field testing can offer micro-level explanations for possible mechanisms of influence. Kalla &amp; Brockman (2018) staged an experiment, alongside an influence group, which proved, for example, that groups could maximize access to the valuable resource of a politician’s time by identifying themselves as campaign donors – one possible channel of influence for money affecting political decision-making. And one can imagine a whole set of these experiments being deployed to argue for a </w:t>
      </w:r>
      <w:r w:rsidR="00856F08">
        <w:rPr>
          <w:lang w:val="en-US"/>
        </w:rPr>
        <w:t>certain set of mechanisms</w:t>
      </w:r>
      <w:r>
        <w:rPr>
          <w:lang w:val="en-US"/>
        </w:rPr>
        <w:t xml:space="preserve"> delineating the influence of economic elites in politics. But </w:t>
      </w:r>
      <w:r w:rsidR="000B516C">
        <w:rPr>
          <w:lang w:val="en-US"/>
        </w:rPr>
        <w:t xml:space="preserve">field experiments can only be carried out in a limited set of circumstances. Many of the plausible channels for political influence by elites, like implicit threats of disinvestment (capital strike) are effectively untestable except in natural experiment. And there is reason to believe that economic elites exert influence on policies in ways that extend far beyond simply commanding the time of congresspeople; or, for that matter, in any of the many formalized ways of influencing politicians. And like macro-level tests, field experiments have little ways to theorize about institutional change; any attempt to do so generally requires a grander theoretical edifice. </w:t>
      </w:r>
    </w:p>
    <w:p w14:paraId="3DD3FBF5" w14:textId="0BDB7075" w:rsidR="00103B6E" w:rsidRDefault="000B516C">
      <w:pPr>
        <w:rPr>
          <w:lang w:val="en-US"/>
        </w:rPr>
      </w:pPr>
      <w:r>
        <w:rPr>
          <w:lang w:val="en-US"/>
        </w:rPr>
        <w:t xml:space="preserve">Before understanding what that theoretical edifice might look like, why is it relevant both to the general study of the effects of elites on politics – and current questions raised by Trump’s tariff policies? Obviously, politics takes place in history – “always historicize!” as Jameson put it, or as </w:t>
      </w:r>
      <w:proofErr w:type="spellStart"/>
      <w:r w:rsidR="00163591">
        <w:rPr>
          <w:lang w:val="en-US"/>
        </w:rPr>
        <w:t>Lichbach</w:t>
      </w:r>
      <w:proofErr w:type="spellEnd"/>
      <w:r w:rsidR="00163591">
        <w:rPr>
          <w:lang w:val="en-US"/>
        </w:rPr>
        <w:t xml:space="preserve"> and Zuckerman (2012), put it, always politicize. One of the confounding factors in studying money’s effect on politics is that the probable shift in power relations</w:t>
      </w:r>
      <w:r w:rsidR="00103B6E">
        <w:rPr>
          <w:lang w:val="en-US"/>
        </w:rPr>
        <w:t xml:space="preserve"> towards the decision-making of economic elites</w:t>
      </w:r>
      <w:r w:rsidR="00163591">
        <w:rPr>
          <w:lang w:val="en-US"/>
        </w:rPr>
        <w:t xml:space="preserve"> and</w:t>
      </w:r>
      <w:r w:rsidR="00103B6E">
        <w:rPr>
          <w:lang w:val="en-US"/>
        </w:rPr>
        <w:t xml:space="preserve"> the</w:t>
      </w:r>
      <w:r w:rsidR="00163591">
        <w:rPr>
          <w:lang w:val="en-US"/>
        </w:rPr>
        <w:t xml:space="preserve"> certain shift in institutions from the 70s onwards has been intertwined </w:t>
      </w:r>
      <w:r w:rsidR="00103B6E">
        <w:rPr>
          <w:lang w:val="en-US"/>
        </w:rPr>
        <w:t xml:space="preserve">with </w:t>
      </w:r>
      <w:r w:rsidR="00163591">
        <w:rPr>
          <w:lang w:val="en-US"/>
        </w:rPr>
        <w:t>and partially driven institutional changes in the United States, shifting power away from the legislative branch and towards the executive and judicial branches</w:t>
      </w:r>
      <w:r w:rsidR="00103B6E">
        <w:rPr>
          <w:lang w:val="en-US"/>
        </w:rPr>
        <w:t xml:space="preserve">, and a weakening in civil society that has </w:t>
      </w:r>
      <w:r w:rsidR="003870F5">
        <w:rPr>
          <w:lang w:val="en-US"/>
        </w:rPr>
        <w:t>affected</w:t>
      </w:r>
      <w:r w:rsidR="00103B6E">
        <w:rPr>
          <w:lang w:val="en-US"/>
        </w:rPr>
        <w:t xml:space="preserve"> (differentially) both business interest groups and union formations. More vicious partisan competition driven by the weakening of the democratic coalition as intra-elite groups have polarized – as shown by Zacher (2024), has led to a more consistently divided congress; parallel to this has been the increased delegation of power to the Presidency</w:t>
      </w:r>
      <w:r w:rsidR="00C86071">
        <w:rPr>
          <w:lang w:val="en-US"/>
        </w:rPr>
        <w:t xml:space="preserve">. And historical work like that of Slobodian (2018) and </w:t>
      </w:r>
      <w:proofErr w:type="spellStart"/>
      <w:r w:rsidR="00C86071">
        <w:rPr>
          <w:lang w:val="en-US"/>
        </w:rPr>
        <w:t>Eichengreen</w:t>
      </w:r>
      <w:proofErr w:type="spellEnd"/>
      <w:r w:rsidR="00C86071">
        <w:rPr>
          <w:lang w:val="en-US"/>
        </w:rPr>
        <w:t xml:space="preserve"> (2008) has shown how the process of neoliberal globalization and the lifting of capital controls was accompanied by the increasing insulation of monetary authorities from mass politics; all this while the very instruments of mass politics decomposed (see Skocpol 2003, Putnam 2000, Jager 2026)</w:t>
      </w:r>
    </w:p>
    <w:p w14:paraId="1B76F475" w14:textId="06B35839" w:rsidR="007E369A" w:rsidRDefault="00103B6E">
      <w:pPr>
        <w:rPr>
          <w:lang w:val="en-US"/>
        </w:rPr>
      </w:pPr>
      <w:r>
        <w:rPr>
          <w:lang w:val="en-US"/>
        </w:rPr>
        <w:t xml:space="preserve"> There are examples of micro models being fitted into larger theoretical bundles to explain major historical transformations; some of these models are more successful than others, and in my limited understanding of the literature I can’t name any specific to changes in US elite politics over the last 40 years. Any model that could conceivably explain most of the possible subtle mechanisms of influence-peddling in US politics would have to be substantially more complicated than already formidably assembled field-experiments</w:t>
      </w:r>
      <w:r w:rsidR="007E369A">
        <w:rPr>
          <w:lang w:val="en-US"/>
        </w:rPr>
        <w:t xml:space="preserve">; one can imagine something like that Avner Greif constructed in his 2012 </w:t>
      </w:r>
      <w:r w:rsidR="007E369A">
        <w:rPr>
          <w:i/>
          <w:iCs/>
          <w:lang w:val="en-US"/>
        </w:rPr>
        <w:t>Institutions and the Path to the Modern Economy</w:t>
      </w:r>
      <w:r w:rsidR="007E369A">
        <w:rPr>
          <w:lang w:val="en-US"/>
        </w:rPr>
        <w:t>, which endogenizes institutional transformation within a game-theoretic model of trade among Maghribi merchants; the trouble is to build a model which might actually prove useful when measured up against the extreme messiness of either Maghribi merchant networks – or, in our case – the decision-making of both economic elites, political decision-makers, and the institutions themselves. No small task!</w:t>
      </w:r>
      <w:r w:rsidR="003870F5">
        <w:rPr>
          <w:lang w:val="en-US"/>
        </w:rPr>
        <w:t xml:space="preserve"> </w:t>
      </w:r>
    </w:p>
    <w:p w14:paraId="1D63FF32" w14:textId="47525CB8" w:rsidR="00CC5967" w:rsidRDefault="007E369A">
      <w:pPr>
        <w:rPr>
          <w:lang w:val="en-US"/>
        </w:rPr>
      </w:pPr>
      <w:r>
        <w:rPr>
          <w:lang w:val="en-US"/>
        </w:rPr>
        <w:t>In cases like these, historical-institutional analysis</w:t>
      </w:r>
      <w:r w:rsidR="003870F5">
        <w:rPr>
          <w:lang w:val="en-US"/>
        </w:rPr>
        <w:t xml:space="preserve"> and process-tracing </w:t>
      </w:r>
      <w:r w:rsidR="00AE1308">
        <w:rPr>
          <w:lang w:val="en-US"/>
        </w:rPr>
        <w:t>are</w:t>
      </w:r>
      <w:r w:rsidR="003870F5">
        <w:rPr>
          <w:lang w:val="en-US"/>
        </w:rPr>
        <w:t xml:space="preserve"> necessary</w:t>
      </w:r>
      <w:r>
        <w:rPr>
          <w:lang w:val="en-US"/>
        </w:rPr>
        <w:t>.</w:t>
      </w:r>
      <w:r w:rsidR="003870F5">
        <w:rPr>
          <w:lang w:val="en-US"/>
        </w:rPr>
        <w:t xml:space="preserve"> They can serve a similar function to formal institutional models like Greif when tractability breaks down and when influence happen</w:t>
      </w:r>
      <w:r w:rsidR="00AE1308">
        <w:rPr>
          <w:lang w:val="en-US"/>
        </w:rPr>
        <w:t>s</w:t>
      </w:r>
      <w:r w:rsidR="003870F5">
        <w:rPr>
          <w:lang w:val="en-US"/>
        </w:rPr>
        <w:t xml:space="preserve"> largely through</w:t>
      </w:r>
      <w:r w:rsidR="00AE1308">
        <w:rPr>
          <w:lang w:val="en-US"/>
        </w:rPr>
        <w:t xml:space="preserve"> unobservable</w:t>
      </w:r>
      <w:r w:rsidR="003870F5">
        <w:rPr>
          <w:lang w:val="en-US"/>
        </w:rPr>
        <w:t xml:space="preserve"> </w:t>
      </w:r>
      <w:proofErr w:type="gramStart"/>
      <w:r w:rsidR="003870F5">
        <w:rPr>
          <w:lang w:val="en-US"/>
        </w:rPr>
        <w:t>back-channels</w:t>
      </w:r>
      <w:proofErr w:type="gramEnd"/>
      <w:r w:rsidR="003870F5">
        <w:rPr>
          <w:lang w:val="en-US"/>
        </w:rPr>
        <w:t>. If a formal model like Greif’s cannot conceivably be constructed, a more permissive institutional-structural model can (and has been) imagined.</w:t>
      </w:r>
      <w:r>
        <w:rPr>
          <w:lang w:val="en-US"/>
        </w:rPr>
        <w:t xml:space="preserve"> </w:t>
      </w:r>
      <w:r w:rsidR="00594FBD">
        <w:rPr>
          <w:lang w:val="en-US"/>
        </w:rPr>
        <w:t>The exact form or even approach of these historical-institutionalist analysis may vary. It may take the form of a quasi-Marxist account of the structural power of finance capital specified with case studies, as in Young, Banerjee, and Schwartz (2018). Or it might take a normatively liberal or socially democratic account like Hacker and Pierson (2010). Both accounts specify, using case studies, the number of different channels for political influence; but they also have, if limited, an account of institutional transformation, not just in the composition of business interest groups but in the function and role of the federal government</w:t>
      </w:r>
      <w:r w:rsidR="00CC5967">
        <w:rPr>
          <w:lang w:val="en-US"/>
        </w:rPr>
        <w:t>; as in the increasingly important role of the Federal Reserve, and the Fed’s role as an important channel for information from economic elites (as in Federal Reserve surveys, a key task of local Fed chairman’s.)</w:t>
      </w:r>
    </w:p>
    <w:p w14:paraId="6B5F493A" w14:textId="06759B94" w:rsidR="007E369A" w:rsidRPr="007E369A" w:rsidRDefault="00CC5967">
      <w:pPr>
        <w:rPr>
          <w:lang w:val="en-US"/>
        </w:rPr>
      </w:pPr>
      <w:r>
        <w:rPr>
          <w:lang w:val="en-US"/>
        </w:rPr>
        <w:t>Historical-institutionalist accounts can also be helpful in offering some hypotheses for the lack of business resistance to the Trump administration. Firstly,</w:t>
      </w:r>
      <w:r w:rsidR="008B3500">
        <w:rPr>
          <w:lang w:val="en-US"/>
        </w:rPr>
        <w:t xml:space="preserve"> Skocpol and Putnam both have accounts of the disruption of the social fabric of American life since roughly the 60s; both see this operating among both economic elites and non-elite Americans. But more interestingly, </w:t>
      </w:r>
      <w:proofErr w:type="spellStart"/>
      <w:r w:rsidR="008B3500">
        <w:rPr>
          <w:lang w:val="en-US"/>
        </w:rPr>
        <w:t>Mizruchi</w:t>
      </w:r>
      <w:proofErr w:type="spellEnd"/>
      <w:r w:rsidR="008B3500">
        <w:rPr>
          <w:lang w:val="en-US"/>
        </w:rPr>
        <w:t xml:space="preserve"> (2013), and Bond &amp; Harrigan (2011</w:t>
      </w:r>
      <w:proofErr w:type="gramStart"/>
      <w:r w:rsidR="008B3500">
        <w:rPr>
          <w:lang w:val="en-US"/>
        </w:rPr>
        <w:t>)  have</w:t>
      </w:r>
      <w:proofErr w:type="gramEnd"/>
      <w:r w:rsidR="008B3500">
        <w:rPr>
          <w:lang w:val="en-US"/>
        </w:rPr>
        <w:t xml:space="preserve"> argued that the overwhelming victory of American business interests in achieving their goals and in defeating trade unions has left them without substantial challenges; and that this had led to (relative to other developed democracies) significantly higher fragmentation among American businesses. This fragmentation, combined with increased centralization of power in the American presidency (epitomized in trade relations in the case of the Trade Expansion Act of 1962), has meant that even as American business interests are left without any substantial or coherent challenger, the capriciousness of any individual president – including an American president elected amidst a wave of populist backlash triggered (if by proxy) by skyrocketing inequality – might leave businesses reeling and without any effective strategy or organization to discipline the actions of the executive. Only a historical-</w:t>
      </w:r>
      <w:r w:rsidR="007D0A1A">
        <w:rPr>
          <w:lang w:val="en-US"/>
        </w:rPr>
        <w:t>institutionalist</w:t>
      </w:r>
      <w:r w:rsidR="008B3500">
        <w:rPr>
          <w:lang w:val="en-US"/>
        </w:rPr>
        <w:t xml:space="preserve"> account could “model” or explain this transformation; even as macro-observation tests could be used to give us an understanding of what institutions to look for explanations, and as game-theoretic models could be used to support some of the conclusions of the historical-institutionalist explanation (a game-theoretic model could be used to explain the lack of firm cooperation, or the decrease in political firm unity without </w:t>
      </w:r>
      <w:r w:rsidR="007D0A1A">
        <w:rPr>
          <w:lang w:val="en-US"/>
        </w:rPr>
        <w:t>trade</w:t>
      </w:r>
      <w:r w:rsidR="008B3500">
        <w:rPr>
          <w:lang w:val="en-US"/>
        </w:rPr>
        <w:t xml:space="preserve"> union pressure, for example). </w:t>
      </w:r>
    </w:p>
    <w:p w14:paraId="16CB285C" w14:textId="77777777" w:rsidR="00103B6E" w:rsidRDefault="00103B6E">
      <w:pPr>
        <w:rPr>
          <w:lang w:val="en-US"/>
        </w:rPr>
      </w:pPr>
    </w:p>
    <w:p w14:paraId="35160E8A" w14:textId="59C75AFB" w:rsidR="00275770" w:rsidRDefault="008B3500">
      <w:pPr>
        <w:rPr>
          <w:lang w:val="en-US"/>
        </w:rPr>
      </w:pPr>
      <w:r>
        <w:rPr>
          <w:lang w:val="en-US"/>
        </w:rPr>
        <w:t xml:space="preserve">Trump’s tariff policy underscores the limits of both macro- and micro- approaches to identifying elite influence, approaches that might work best in political systems where </w:t>
      </w:r>
      <w:r w:rsidR="007D0A1A">
        <w:rPr>
          <w:lang w:val="en-US"/>
        </w:rPr>
        <w:t xml:space="preserve">power is broadly dispersed and institutional channels of influence are stable and predictable; these methods might reveal short-run patterns of responsiveness and verify particular mechanisms of access, but they struggle to account for </w:t>
      </w:r>
      <w:r w:rsidR="006B178E">
        <w:rPr>
          <w:lang w:val="en-US"/>
        </w:rPr>
        <w:t>moments</w:t>
      </w:r>
      <w:r w:rsidR="007D0A1A">
        <w:rPr>
          <w:lang w:val="en-US"/>
        </w:rPr>
        <w:t xml:space="preserve"> in which institutional change can undermine, or enhance, the ability for elites to coordinate or intervene. Historical institutionalist methodologies, tied in with game-theoretic models and macro-observational tests, can situate strange anomalies like “Liberation Day” within the larger transformations of American political economy, and within American political institutions, and explain why elites sometimes can exercise ordinary power and at other times wither in the face of executive power. </w:t>
      </w:r>
    </w:p>
    <w:p w14:paraId="44614AA2" w14:textId="77777777" w:rsidR="006B178E" w:rsidRDefault="006B178E">
      <w:pPr>
        <w:rPr>
          <w:lang w:val="en-US"/>
        </w:rPr>
      </w:pPr>
    </w:p>
    <w:p w14:paraId="35940486" w14:textId="2E08ADAB" w:rsidR="006B178E" w:rsidRDefault="006B178E">
      <w:pPr>
        <w:rPr>
          <w:b/>
          <w:bCs/>
          <w:lang w:val="en-US"/>
        </w:rPr>
      </w:pPr>
      <w:r>
        <w:rPr>
          <w:b/>
          <w:bCs/>
          <w:lang w:val="en-US"/>
        </w:rPr>
        <w:t xml:space="preserve">Works Cited: </w:t>
      </w:r>
    </w:p>
    <w:p w14:paraId="1EF10B35" w14:textId="77777777" w:rsidR="006B178E" w:rsidRDefault="006B178E">
      <w:pPr>
        <w:rPr>
          <w:b/>
          <w:bCs/>
          <w:lang w:val="en-US"/>
        </w:rPr>
      </w:pPr>
    </w:p>
    <w:p w14:paraId="64862AC4" w14:textId="69C4D6D1" w:rsidR="006B178E" w:rsidRPr="006B178E" w:rsidRDefault="006B178E" w:rsidP="006B178E">
      <w:pPr>
        <w:rPr>
          <w:lang w:val="en-US"/>
        </w:rPr>
      </w:pPr>
      <w:r w:rsidRPr="006B178E">
        <w:rPr>
          <w:lang w:val="en-US"/>
        </w:rPr>
        <w:t xml:space="preserve">Bond, P., and J. Harrigan. 2011. </w:t>
      </w:r>
      <w:r>
        <w:rPr>
          <w:lang w:val="en-US"/>
        </w:rPr>
        <w:t>Political Dimensions of Corporate Connections</w:t>
      </w:r>
      <w:r w:rsidRPr="006B178E">
        <w:rPr>
          <w:lang w:val="en-US"/>
        </w:rPr>
        <w:t xml:space="preserve">]. </w:t>
      </w:r>
      <w:r>
        <w:rPr>
          <w:lang w:val="en-US"/>
        </w:rPr>
        <w:t xml:space="preserve">Sage Handbook of </w:t>
      </w:r>
      <w:proofErr w:type="spellStart"/>
      <w:r>
        <w:rPr>
          <w:lang w:val="en-US"/>
        </w:rPr>
        <w:t>Socail</w:t>
      </w:r>
      <w:proofErr w:type="spellEnd"/>
      <w:r>
        <w:rPr>
          <w:lang w:val="en-US"/>
        </w:rPr>
        <w:t xml:space="preserve"> Network Analysis</w:t>
      </w:r>
    </w:p>
    <w:p w14:paraId="0A239DE3" w14:textId="77777777" w:rsidR="006B178E" w:rsidRPr="006B178E" w:rsidRDefault="006B178E" w:rsidP="006B178E">
      <w:pPr>
        <w:rPr>
          <w:lang w:val="en-US"/>
        </w:rPr>
      </w:pPr>
    </w:p>
    <w:p w14:paraId="136CCA89" w14:textId="77777777" w:rsidR="006B178E" w:rsidRPr="006B178E" w:rsidRDefault="006B178E" w:rsidP="006B178E">
      <w:pPr>
        <w:rPr>
          <w:lang w:val="en-US"/>
        </w:rPr>
      </w:pPr>
      <w:proofErr w:type="spellStart"/>
      <w:r w:rsidRPr="006B178E">
        <w:rPr>
          <w:lang w:val="en-US"/>
        </w:rPr>
        <w:t>Eichengreen</w:t>
      </w:r>
      <w:proofErr w:type="spellEnd"/>
      <w:r w:rsidRPr="006B178E">
        <w:rPr>
          <w:lang w:val="en-US"/>
        </w:rPr>
        <w:t>, Barry. 2008. Globalizing Capital: A History of the International Monetary System. 2nd ed. Princeton University Press.</w:t>
      </w:r>
    </w:p>
    <w:p w14:paraId="4FA29EAB" w14:textId="77777777" w:rsidR="006B178E" w:rsidRPr="006B178E" w:rsidRDefault="006B178E" w:rsidP="006B178E">
      <w:pPr>
        <w:rPr>
          <w:lang w:val="en-US"/>
        </w:rPr>
      </w:pPr>
    </w:p>
    <w:p w14:paraId="2CADE91A" w14:textId="77777777" w:rsidR="006B178E" w:rsidRPr="006B178E" w:rsidRDefault="006B178E" w:rsidP="006B178E">
      <w:pPr>
        <w:rPr>
          <w:lang w:val="en-US"/>
        </w:rPr>
      </w:pPr>
      <w:proofErr w:type="spellStart"/>
      <w:r w:rsidRPr="006B178E">
        <w:rPr>
          <w:lang w:val="en-US"/>
        </w:rPr>
        <w:t>Gilens</w:t>
      </w:r>
      <w:proofErr w:type="spellEnd"/>
      <w:r w:rsidRPr="006B178E">
        <w:rPr>
          <w:lang w:val="en-US"/>
        </w:rPr>
        <w:t>, Martin, and Benjamin I. Page. 2014. “Testing Theories of American Politics: Elites, Interest Groups, and Average Citizens.” Perspectives on Politics 12(3): 564–581.</w:t>
      </w:r>
    </w:p>
    <w:p w14:paraId="26D46243" w14:textId="77777777" w:rsidR="006B178E" w:rsidRPr="006B178E" w:rsidRDefault="006B178E" w:rsidP="006B178E">
      <w:pPr>
        <w:rPr>
          <w:lang w:val="en-US"/>
        </w:rPr>
      </w:pPr>
    </w:p>
    <w:p w14:paraId="3CCA79AF" w14:textId="77777777" w:rsidR="006B178E" w:rsidRPr="006B178E" w:rsidRDefault="006B178E" w:rsidP="006B178E">
      <w:pPr>
        <w:rPr>
          <w:lang w:val="en-US"/>
        </w:rPr>
      </w:pPr>
      <w:r w:rsidRPr="006B178E">
        <w:rPr>
          <w:lang w:val="en-US"/>
        </w:rPr>
        <w:t>Greif, Avner. 2012. Institutions and the Path to the Modern Economy. Cambridge University Press.</w:t>
      </w:r>
    </w:p>
    <w:p w14:paraId="3EAB0425" w14:textId="77777777" w:rsidR="006B178E" w:rsidRPr="006B178E" w:rsidRDefault="006B178E" w:rsidP="006B178E">
      <w:pPr>
        <w:rPr>
          <w:lang w:val="en-US"/>
        </w:rPr>
      </w:pPr>
    </w:p>
    <w:p w14:paraId="41CAC38D" w14:textId="77777777" w:rsidR="006B178E" w:rsidRPr="006B178E" w:rsidRDefault="006B178E" w:rsidP="006B178E">
      <w:pPr>
        <w:rPr>
          <w:lang w:val="en-US"/>
        </w:rPr>
      </w:pPr>
      <w:r w:rsidRPr="006B178E">
        <w:rPr>
          <w:lang w:val="en-US"/>
        </w:rPr>
        <w:t>Hacker, Jacob S., and Paul Pierson. 2010. Winner-Take-All Politics: How Washington Made the Rich Richer—and Turned Its Back on the Middle Class. Simon &amp; Schuster.</w:t>
      </w:r>
    </w:p>
    <w:p w14:paraId="1ABCD656" w14:textId="77777777" w:rsidR="006B178E" w:rsidRPr="006B178E" w:rsidRDefault="006B178E" w:rsidP="006B178E">
      <w:pPr>
        <w:rPr>
          <w:lang w:val="en-US"/>
        </w:rPr>
      </w:pPr>
    </w:p>
    <w:p w14:paraId="59775A1D" w14:textId="3B39CFF0" w:rsidR="006B178E" w:rsidRPr="006B178E" w:rsidRDefault="006B178E" w:rsidP="006B178E">
      <w:pPr>
        <w:rPr>
          <w:lang w:val="en-US"/>
        </w:rPr>
      </w:pPr>
      <w:r>
        <w:rPr>
          <w:lang w:val="en-US"/>
        </w:rPr>
        <w:t>Haeder</w:t>
      </w:r>
      <w:r w:rsidRPr="006B178E">
        <w:rPr>
          <w:lang w:val="en-US"/>
        </w:rPr>
        <w:t xml:space="preserve">, S., and Susan Webb Yackee. 2015. </w:t>
      </w:r>
      <w:r>
        <w:rPr>
          <w:lang w:val="en-US"/>
        </w:rPr>
        <w:t>Influence and the Administrative Process: Lobbying the U.S. President’s Office of Management and Budget, American Political Science Review</w:t>
      </w:r>
    </w:p>
    <w:p w14:paraId="52C8DF34" w14:textId="77777777" w:rsidR="006B178E" w:rsidRPr="006B178E" w:rsidRDefault="006B178E" w:rsidP="006B178E">
      <w:pPr>
        <w:rPr>
          <w:lang w:val="en-US"/>
        </w:rPr>
      </w:pPr>
    </w:p>
    <w:p w14:paraId="0EEA7A79" w14:textId="77777777" w:rsidR="006B178E" w:rsidRPr="006B178E" w:rsidRDefault="006B178E" w:rsidP="006B178E">
      <w:r w:rsidRPr="006B178E">
        <w:rPr>
          <w:lang w:val="en-US"/>
        </w:rPr>
        <w:t xml:space="preserve">Jäger, Anton, Daniela Janser, Thomas Zimmermann, and Heinrich </w:t>
      </w:r>
      <w:proofErr w:type="spellStart"/>
      <w:r w:rsidRPr="006B178E">
        <w:rPr>
          <w:lang w:val="en-US"/>
        </w:rPr>
        <w:t>Geiselberger</w:t>
      </w:r>
      <w:proofErr w:type="spellEnd"/>
      <w:r w:rsidRPr="006B178E">
        <w:rPr>
          <w:lang w:val="en-US"/>
        </w:rPr>
        <w:t xml:space="preserve">. </w:t>
      </w:r>
      <w:r w:rsidRPr="006B178E">
        <w:t xml:space="preserve">2023. </w:t>
      </w:r>
      <w:r w:rsidRPr="006B178E">
        <w:rPr>
          <w:i/>
          <w:iCs/>
        </w:rPr>
        <w:t>Hyperpolitik</w:t>
      </w:r>
      <w:r w:rsidRPr="006B178E">
        <w:rPr>
          <w:rFonts w:ascii="Arial" w:hAnsi="Arial" w:cs="Arial"/>
          <w:i/>
          <w:iCs/>
        </w:rPr>
        <w:t> </w:t>
      </w:r>
      <w:r w:rsidRPr="006B178E">
        <w:rPr>
          <w:i/>
          <w:iCs/>
        </w:rPr>
        <w:t>: Extreme Politisierung Ohne Politische Folgen</w:t>
      </w:r>
      <w:r w:rsidRPr="006B178E">
        <w:t>. Berlin: Suhrkamp.</w:t>
      </w:r>
    </w:p>
    <w:p w14:paraId="30D031CB" w14:textId="77777777" w:rsidR="006B178E" w:rsidRPr="006B178E" w:rsidRDefault="006B178E" w:rsidP="006B178E">
      <w:pPr>
        <w:rPr>
          <w:lang w:val="en-US"/>
        </w:rPr>
      </w:pPr>
    </w:p>
    <w:p w14:paraId="3E13137C" w14:textId="77777777" w:rsidR="006B178E" w:rsidRPr="006B178E" w:rsidRDefault="006B178E" w:rsidP="006B178E">
      <w:pPr>
        <w:rPr>
          <w:lang w:val="en-US"/>
        </w:rPr>
      </w:pPr>
      <w:r w:rsidRPr="006B178E">
        <w:rPr>
          <w:lang w:val="en-US"/>
        </w:rPr>
        <w:t xml:space="preserve">Kalla, Joshua, and David </w:t>
      </w:r>
      <w:proofErr w:type="spellStart"/>
      <w:r w:rsidRPr="006B178E">
        <w:rPr>
          <w:lang w:val="en-US"/>
        </w:rPr>
        <w:t>Broockman</w:t>
      </w:r>
      <w:proofErr w:type="spellEnd"/>
      <w:r w:rsidRPr="006B178E">
        <w:rPr>
          <w:lang w:val="en-US"/>
        </w:rPr>
        <w:t>. 2016. “Campaign Contributions Facilitate Access to Congressional Officials: A Randomized Field Experiment.” American Journal of Political Science 60(3): 545–558.</w:t>
      </w:r>
    </w:p>
    <w:p w14:paraId="7CDF549C" w14:textId="77777777" w:rsidR="006B178E" w:rsidRPr="006B178E" w:rsidRDefault="006B178E" w:rsidP="006B178E">
      <w:pPr>
        <w:rPr>
          <w:lang w:val="en-US"/>
        </w:rPr>
      </w:pPr>
    </w:p>
    <w:p w14:paraId="74478B09" w14:textId="77777777" w:rsidR="006B178E" w:rsidRPr="006B178E" w:rsidRDefault="006B178E" w:rsidP="006B178E">
      <w:pPr>
        <w:rPr>
          <w:lang w:val="en-US"/>
        </w:rPr>
      </w:pPr>
    </w:p>
    <w:p w14:paraId="77ADCD74" w14:textId="77777777" w:rsidR="006B178E" w:rsidRPr="006B178E" w:rsidRDefault="006B178E" w:rsidP="006B178E">
      <w:pPr>
        <w:rPr>
          <w:lang w:val="en-US"/>
        </w:rPr>
      </w:pPr>
      <w:proofErr w:type="spellStart"/>
      <w:r w:rsidRPr="006B178E">
        <w:rPr>
          <w:lang w:val="en-US"/>
        </w:rPr>
        <w:t>Lichbach</w:t>
      </w:r>
      <w:proofErr w:type="spellEnd"/>
      <w:r w:rsidRPr="006B178E">
        <w:rPr>
          <w:lang w:val="en-US"/>
        </w:rPr>
        <w:t>, Mark I., and Alan Zuckerman. 2012. Comparative Politics: Rationality, Culture, and Structure. 2nd ed. Cambridge University Press.</w:t>
      </w:r>
    </w:p>
    <w:p w14:paraId="61AFDEA3" w14:textId="77777777" w:rsidR="006B178E" w:rsidRPr="006B178E" w:rsidRDefault="006B178E" w:rsidP="006B178E">
      <w:pPr>
        <w:rPr>
          <w:lang w:val="en-US"/>
        </w:rPr>
      </w:pPr>
    </w:p>
    <w:p w14:paraId="32FD0B07" w14:textId="2C796D96" w:rsidR="006B178E" w:rsidRPr="006B178E" w:rsidRDefault="006B178E" w:rsidP="006B178E">
      <w:pPr>
        <w:rPr>
          <w:lang w:val="en-US"/>
        </w:rPr>
      </w:pPr>
      <w:r w:rsidRPr="006B178E">
        <w:rPr>
          <w:lang w:val="en-US"/>
        </w:rPr>
        <w:t xml:space="preserve">Mathisen, G. 2023. </w:t>
      </w:r>
      <w:r w:rsidR="00955A41">
        <w:rPr>
          <w:lang w:val="en-US"/>
        </w:rPr>
        <w:t>Affluence and Influence in a Social Democracy, American Political Science Review pp. 751-758</w:t>
      </w:r>
    </w:p>
    <w:p w14:paraId="309CD007" w14:textId="77777777" w:rsidR="006B178E" w:rsidRPr="006B178E" w:rsidRDefault="006B178E" w:rsidP="006B178E">
      <w:pPr>
        <w:rPr>
          <w:lang w:val="en-US"/>
        </w:rPr>
      </w:pPr>
    </w:p>
    <w:p w14:paraId="0AE57723" w14:textId="77777777" w:rsidR="006B178E" w:rsidRPr="006B178E" w:rsidRDefault="006B178E" w:rsidP="006B178E">
      <w:pPr>
        <w:rPr>
          <w:lang w:val="en-US"/>
        </w:rPr>
      </w:pPr>
      <w:proofErr w:type="spellStart"/>
      <w:r w:rsidRPr="006B178E">
        <w:rPr>
          <w:lang w:val="en-US"/>
        </w:rPr>
        <w:t>Mizruchi</w:t>
      </w:r>
      <w:proofErr w:type="spellEnd"/>
      <w:r w:rsidRPr="006B178E">
        <w:rPr>
          <w:lang w:val="en-US"/>
        </w:rPr>
        <w:t>, Mark S. 2013. The Fracturing of the American Corporate Elite. Harvard University Press.</w:t>
      </w:r>
    </w:p>
    <w:p w14:paraId="20181DFB" w14:textId="77777777" w:rsidR="006B178E" w:rsidRPr="006B178E" w:rsidRDefault="006B178E" w:rsidP="006B178E">
      <w:pPr>
        <w:rPr>
          <w:lang w:val="en-US"/>
        </w:rPr>
      </w:pPr>
    </w:p>
    <w:p w14:paraId="5842FCBA" w14:textId="52A57B4D" w:rsidR="006B178E" w:rsidRPr="006B178E" w:rsidRDefault="006B178E" w:rsidP="006B178E">
      <w:pPr>
        <w:rPr>
          <w:lang w:val="en-US"/>
        </w:rPr>
      </w:pPr>
      <w:r w:rsidRPr="006B178E">
        <w:rPr>
          <w:lang w:val="en-US"/>
        </w:rPr>
        <w:t>Persson, M., and S. Anders. 202</w:t>
      </w:r>
      <w:r w:rsidR="00955A41">
        <w:rPr>
          <w:lang w:val="en-US"/>
        </w:rPr>
        <w:t>4</w:t>
      </w:r>
      <w:r w:rsidRPr="006B178E">
        <w:rPr>
          <w:lang w:val="en-US"/>
        </w:rPr>
        <w:t xml:space="preserve">. </w:t>
      </w:r>
      <w:r w:rsidR="00955A41">
        <w:rPr>
          <w:lang w:val="en-US"/>
        </w:rPr>
        <w:t xml:space="preserve">The Rich Have a Slight Edge, British Journal of Political Science pp. 514-525 </w:t>
      </w:r>
    </w:p>
    <w:p w14:paraId="1CE63D8B" w14:textId="77777777" w:rsidR="006B178E" w:rsidRPr="006B178E" w:rsidRDefault="006B178E" w:rsidP="006B178E">
      <w:pPr>
        <w:rPr>
          <w:lang w:val="en-US"/>
        </w:rPr>
      </w:pPr>
    </w:p>
    <w:p w14:paraId="47D3CC65" w14:textId="77777777" w:rsidR="006B178E" w:rsidRPr="006B178E" w:rsidRDefault="006B178E" w:rsidP="006B178E">
      <w:pPr>
        <w:rPr>
          <w:lang w:val="en-US"/>
        </w:rPr>
      </w:pPr>
      <w:r w:rsidRPr="006B178E">
        <w:rPr>
          <w:lang w:val="en-US"/>
        </w:rPr>
        <w:t>Putnam, Robert D. 2000. Bowling Alone: The Collapse and Revival of American Community. Simon &amp; Schuster.</w:t>
      </w:r>
    </w:p>
    <w:p w14:paraId="235522CC" w14:textId="77777777" w:rsidR="006B178E" w:rsidRPr="006B178E" w:rsidRDefault="006B178E" w:rsidP="006B178E">
      <w:pPr>
        <w:rPr>
          <w:lang w:val="en-US"/>
        </w:rPr>
      </w:pPr>
    </w:p>
    <w:p w14:paraId="1424B95D" w14:textId="77777777" w:rsidR="006B178E" w:rsidRPr="006B178E" w:rsidRDefault="006B178E" w:rsidP="006B178E">
      <w:pPr>
        <w:rPr>
          <w:lang w:val="en-US"/>
        </w:rPr>
      </w:pPr>
      <w:r w:rsidRPr="006B178E">
        <w:rPr>
          <w:lang w:val="en-US"/>
        </w:rPr>
        <w:t>Skocpol, Theda. 2003. Diminished Democracy: From Membership to Management in American Civic Life. University of Oklahoma Press.</w:t>
      </w:r>
    </w:p>
    <w:p w14:paraId="5FE7E2AD" w14:textId="77777777" w:rsidR="006B178E" w:rsidRPr="006B178E" w:rsidRDefault="006B178E" w:rsidP="006B178E">
      <w:pPr>
        <w:rPr>
          <w:lang w:val="en-US"/>
        </w:rPr>
      </w:pPr>
    </w:p>
    <w:p w14:paraId="5DEFE209" w14:textId="77777777" w:rsidR="006B178E" w:rsidRPr="006B178E" w:rsidRDefault="006B178E" w:rsidP="006B178E">
      <w:pPr>
        <w:rPr>
          <w:lang w:val="en-US"/>
        </w:rPr>
      </w:pPr>
      <w:r w:rsidRPr="006B178E">
        <w:rPr>
          <w:lang w:val="en-US"/>
        </w:rPr>
        <w:t>Slobodian, Quinn. 2018. Globalists: The End of Empire and the Birth of Neoliberalism. Harvard University Press.</w:t>
      </w:r>
    </w:p>
    <w:p w14:paraId="56BF4F48" w14:textId="77777777" w:rsidR="006B178E" w:rsidRPr="006B178E" w:rsidRDefault="006B178E" w:rsidP="006B178E">
      <w:pPr>
        <w:rPr>
          <w:lang w:val="en-US"/>
        </w:rPr>
      </w:pPr>
    </w:p>
    <w:p w14:paraId="04515919" w14:textId="77777777" w:rsidR="006B178E" w:rsidRPr="006B178E" w:rsidRDefault="006B178E" w:rsidP="006B178E">
      <w:pPr>
        <w:rPr>
          <w:lang w:val="en-US"/>
        </w:rPr>
      </w:pPr>
      <w:r w:rsidRPr="006B178E">
        <w:rPr>
          <w:lang w:val="en-US"/>
        </w:rPr>
        <w:t>Winters, Jeffrey A., and Benjamin I. Page. 2009. “Oligarchy in the United States?” Perspectives on Politics 7(4): 731–751.</w:t>
      </w:r>
    </w:p>
    <w:p w14:paraId="3FD3C2B0" w14:textId="77777777" w:rsidR="006B178E" w:rsidRPr="006B178E" w:rsidRDefault="006B178E" w:rsidP="006B178E">
      <w:pPr>
        <w:rPr>
          <w:lang w:val="en-US"/>
        </w:rPr>
      </w:pPr>
    </w:p>
    <w:p w14:paraId="39E0B307" w14:textId="772DE371" w:rsidR="006B178E" w:rsidRPr="006B178E" w:rsidRDefault="006B178E" w:rsidP="006B178E">
      <w:pPr>
        <w:rPr>
          <w:lang w:val="en-US"/>
        </w:rPr>
      </w:pPr>
      <w:r w:rsidRPr="006B178E">
        <w:rPr>
          <w:lang w:val="en-US"/>
        </w:rPr>
        <w:t xml:space="preserve">Young, K., S. Banerjee, and H. Schwartz. 2018. </w:t>
      </w:r>
      <w:r w:rsidR="00955A41">
        <w:rPr>
          <w:lang w:val="en-US"/>
        </w:rPr>
        <w:t xml:space="preserve">Capital Strikes as a Corporate </w:t>
      </w:r>
      <w:proofErr w:type="spellStart"/>
      <w:r w:rsidR="00955A41">
        <w:rPr>
          <w:lang w:val="en-US"/>
        </w:rPr>
        <w:t>Poltiical</w:t>
      </w:r>
      <w:proofErr w:type="spellEnd"/>
      <w:r w:rsidR="00955A41">
        <w:rPr>
          <w:lang w:val="en-US"/>
        </w:rPr>
        <w:t xml:space="preserve"> Strategy, Politics and Society</w:t>
      </w:r>
    </w:p>
    <w:p w14:paraId="7C40EC41" w14:textId="77777777" w:rsidR="006B178E" w:rsidRPr="006B178E" w:rsidRDefault="006B178E" w:rsidP="006B178E">
      <w:pPr>
        <w:rPr>
          <w:lang w:val="en-US"/>
        </w:rPr>
      </w:pPr>
    </w:p>
    <w:p w14:paraId="61B47C36" w14:textId="772B406A" w:rsidR="006B178E" w:rsidRPr="006B178E" w:rsidRDefault="006B178E" w:rsidP="006B178E">
      <w:pPr>
        <w:rPr>
          <w:lang w:val="en-US"/>
        </w:rPr>
      </w:pPr>
      <w:r w:rsidRPr="006B178E">
        <w:rPr>
          <w:lang w:val="en-US"/>
        </w:rPr>
        <w:t xml:space="preserve">Zacher, T. 2024. </w:t>
      </w:r>
      <w:proofErr w:type="spellStart"/>
      <w:r w:rsidR="00955A41">
        <w:rPr>
          <w:lang w:val="en-US"/>
        </w:rPr>
        <w:t>Polarizaiton</w:t>
      </w:r>
      <w:proofErr w:type="spellEnd"/>
      <w:r w:rsidR="00955A41">
        <w:rPr>
          <w:lang w:val="en-US"/>
        </w:rPr>
        <w:t xml:space="preserve"> of the Rich: The New Democratic Allegiance of Affluent Americans and the Politics of Redistribution, Perspectives on Politics pp. 338 - 356</w:t>
      </w:r>
    </w:p>
    <w:p w14:paraId="7769AE37" w14:textId="77777777" w:rsidR="006B178E" w:rsidRPr="006B178E" w:rsidRDefault="006B178E">
      <w:pPr>
        <w:rPr>
          <w:b/>
          <w:bCs/>
          <w:lang w:val="en-US"/>
        </w:rPr>
      </w:pPr>
    </w:p>
    <w:sectPr w:rsidR="006B178E" w:rsidRPr="006B17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59"/>
    <w:rsid w:val="000B516C"/>
    <w:rsid w:val="000B7C8B"/>
    <w:rsid w:val="000C28AE"/>
    <w:rsid w:val="00103B6E"/>
    <w:rsid w:val="00163591"/>
    <w:rsid w:val="001A214D"/>
    <w:rsid w:val="001C38C0"/>
    <w:rsid w:val="001F081E"/>
    <w:rsid w:val="00275770"/>
    <w:rsid w:val="0036359B"/>
    <w:rsid w:val="003870F5"/>
    <w:rsid w:val="003954BC"/>
    <w:rsid w:val="00494439"/>
    <w:rsid w:val="00594FBD"/>
    <w:rsid w:val="006A7BD5"/>
    <w:rsid w:val="006B178E"/>
    <w:rsid w:val="006C0C06"/>
    <w:rsid w:val="006C1FB4"/>
    <w:rsid w:val="007A2E3D"/>
    <w:rsid w:val="007D0A1A"/>
    <w:rsid w:val="007E369A"/>
    <w:rsid w:val="00856F08"/>
    <w:rsid w:val="008B3500"/>
    <w:rsid w:val="008B4D03"/>
    <w:rsid w:val="00955A41"/>
    <w:rsid w:val="00996A90"/>
    <w:rsid w:val="00A62950"/>
    <w:rsid w:val="00AD20E5"/>
    <w:rsid w:val="00AE1308"/>
    <w:rsid w:val="00B20159"/>
    <w:rsid w:val="00BA20D8"/>
    <w:rsid w:val="00C07744"/>
    <w:rsid w:val="00C156A8"/>
    <w:rsid w:val="00C52913"/>
    <w:rsid w:val="00C86071"/>
    <w:rsid w:val="00CC5967"/>
    <w:rsid w:val="00D37D57"/>
    <w:rsid w:val="00D4084E"/>
    <w:rsid w:val="00E607F9"/>
    <w:rsid w:val="00F765F0"/>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80DF"/>
  <w15:chartTrackingRefBased/>
  <w15:docId w15:val="{24E2A923-E293-9F47-9484-274F417C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01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01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01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01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01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01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01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01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01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01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01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01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01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01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01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0159"/>
    <w:rPr>
      <w:rFonts w:eastAsiaTheme="majorEastAsia" w:cstheme="majorBidi"/>
      <w:color w:val="272727" w:themeColor="text1" w:themeTint="D8"/>
    </w:rPr>
  </w:style>
  <w:style w:type="paragraph" w:styleId="Ttulo">
    <w:name w:val="Title"/>
    <w:basedOn w:val="Normal"/>
    <w:next w:val="Normal"/>
    <w:link w:val="TtuloCar"/>
    <w:uiPriority w:val="10"/>
    <w:qFormat/>
    <w:rsid w:val="00B2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01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01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01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0159"/>
    <w:pPr>
      <w:spacing w:before="160"/>
      <w:jc w:val="center"/>
    </w:pPr>
    <w:rPr>
      <w:i/>
      <w:iCs/>
      <w:color w:val="404040" w:themeColor="text1" w:themeTint="BF"/>
    </w:rPr>
  </w:style>
  <w:style w:type="character" w:customStyle="1" w:styleId="CitaCar">
    <w:name w:val="Cita Car"/>
    <w:basedOn w:val="Fuentedeprrafopredeter"/>
    <w:link w:val="Cita"/>
    <w:uiPriority w:val="29"/>
    <w:rsid w:val="00B20159"/>
    <w:rPr>
      <w:i/>
      <w:iCs/>
      <w:color w:val="404040" w:themeColor="text1" w:themeTint="BF"/>
    </w:rPr>
  </w:style>
  <w:style w:type="paragraph" w:styleId="Prrafodelista">
    <w:name w:val="List Paragraph"/>
    <w:basedOn w:val="Normal"/>
    <w:uiPriority w:val="34"/>
    <w:qFormat/>
    <w:rsid w:val="00B20159"/>
    <w:pPr>
      <w:ind w:left="720"/>
      <w:contextualSpacing/>
    </w:pPr>
  </w:style>
  <w:style w:type="character" w:styleId="nfasisintenso">
    <w:name w:val="Intense Emphasis"/>
    <w:basedOn w:val="Fuentedeprrafopredeter"/>
    <w:uiPriority w:val="21"/>
    <w:qFormat/>
    <w:rsid w:val="00B20159"/>
    <w:rPr>
      <w:i/>
      <w:iCs/>
      <w:color w:val="0F4761" w:themeColor="accent1" w:themeShade="BF"/>
    </w:rPr>
  </w:style>
  <w:style w:type="paragraph" w:styleId="Citadestacada">
    <w:name w:val="Intense Quote"/>
    <w:basedOn w:val="Normal"/>
    <w:next w:val="Normal"/>
    <w:link w:val="CitadestacadaCar"/>
    <w:uiPriority w:val="30"/>
    <w:qFormat/>
    <w:rsid w:val="00B2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0159"/>
    <w:rPr>
      <w:i/>
      <w:iCs/>
      <w:color w:val="0F4761" w:themeColor="accent1" w:themeShade="BF"/>
    </w:rPr>
  </w:style>
  <w:style w:type="character" w:styleId="Referenciaintensa">
    <w:name w:val="Intense Reference"/>
    <w:basedOn w:val="Fuentedeprrafopredeter"/>
    <w:uiPriority w:val="32"/>
    <w:qFormat/>
    <w:rsid w:val="00B20159"/>
    <w:rPr>
      <w:b/>
      <w:bCs/>
      <w:smallCaps/>
      <w:color w:val="0F4761" w:themeColor="accent1" w:themeShade="BF"/>
      <w:spacing w:val="5"/>
    </w:rPr>
  </w:style>
  <w:style w:type="paragraph" w:customStyle="1" w:styleId="p1">
    <w:name w:val="p1"/>
    <w:basedOn w:val="Normal"/>
    <w:rsid w:val="00B20159"/>
    <w:pPr>
      <w:spacing w:after="0" w:line="240" w:lineRule="auto"/>
    </w:pPr>
    <w:rPr>
      <w:rFonts w:ascii="Helvetica" w:eastAsia="Times New Roman" w:hAnsi="Helvetica" w:cs="Times New Roman"/>
      <w:color w:val="000000"/>
      <w:kern w:val="0"/>
      <w:sz w:val="17"/>
      <w:szCs w:val="17"/>
      <w14:ligatures w14:val="none"/>
    </w:rPr>
  </w:style>
  <w:style w:type="paragraph" w:customStyle="1" w:styleId="p2">
    <w:name w:val="p2"/>
    <w:basedOn w:val="Normal"/>
    <w:rsid w:val="006C1FB4"/>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Fuentedeprrafopredeter"/>
    <w:rsid w:val="006C1FB4"/>
    <w:rPr>
      <w:rFonts w:ascii="Helvetica" w:hAnsi="Helvetica"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2096</Words>
  <Characters>12353</Characters>
  <Application>Microsoft Office Word</Application>
  <DocSecurity>0</DocSecurity>
  <Lines>212</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Goldberg</dc:creator>
  <cp:keywords/>
  <dc:description/>
  <cp:lastModifiedBy>Charlie Goldberg</cp:lastModifiedBy>
  <cp:revision>2</cp:revision>
  <dcterms:created xsi:type="dcterms:W3CDTF">2025-12-05T15:19:00Z</dcterms:created>
  <dcterms:modified xsi:type="dcterms:W3CDTF">2025-12-05T15:19:00Z</dcterms:modified>
</cp:coreProperties>
</file>